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FFBB7DC" w14:textId="27692996" w:rsidR="6FBFAFC9" w:rsidRPr="00DC4E3D" w:rsidRDefault="6A66EDDB" w:rsidP="003C0BB9">
      <w:pPr>
        <w:pStyle w:val="Overskrift1"/>
      </w:pPr>
      <w:r w:rsidRPr="00DC4E3D">
        <w:t>APPENDIX 2</w:t>
      </w:r>
      <w:r w:rsidR="1BB133D0" w:rsidRPr="00DC4E3D">
        <w:t>–</w:t>
      </w:r>
      <w:r w:rsidRPr="00DC4E3D">
        <w:t>4</w:t>
      </w:r>
    </w:p>
    <w:p w14:paraId="58B39276" w14:textId="4DF9AAF8" w:rsidR="0013183C" w:rsidRPr="000965A8" w:rsidRDefault="0013183C" w:rsidP="000965A8">
      <w:pPr>
        <w:pStyle w:val="Overskrift2"/>
      </w:pPr>
      <w:r w:rsidRPr="000965A8">
        <w:t xml:space="preserve">APPENDIX </w:t>
      </w:r>
      <w:r w:rsidR="4F122262" w:rsidRPr="000965A8">
        <w:t>2</w:t>
      </w:r>
      <w:r w:rsidR="00225AE2" w:rsidRPr="000965A8">
        <w:t>:</w:t>
      </w:r>
      <w:r w:rsidRPr="000965A8">
        <w:t xml:space="preserve"> </w:t>
      </w:r>
      <w:r w:rsidR="5695E566" w:rsidRPr="000965A8">
        <w:t xml:space="preserve">Criteria </w:t>
      </w:r>
      <w:r w:rsidR="753844AD" w:rsidRPr="000965A8">
        <w:t xml:space="preserve">for </w:t>
      </w:r>
      <w:r w:rsidR="000965A8" w:rsidRPr="000965A8">
        <w:t>C</w:t>
      </w:r>
      <w:r w:rsidR="5695E566" w:rsidRPr="000965A8">
        <w:t>lassif</w:t>
      </w:r>
      <w:r w:rsidR="3C289CEA" w:rsidRPr="000965A8">
        <w:t xml:space="preserve">ying </w:t>
      </w:r>
      <w:r w:rsidR="000965A8" w:rsidRPr="000965A8">
        <w:t>H</w:t>
      </w:r>
      <w:r w:rsidR="5695E566" w:rsidRPr="000965A8">
        <w:t>azard</w:t>
      </w:r>
      <w:r w:rsidR="17B43F5B" w:rsidRPr="000965A8">
        <w:t>s</w:t>
      </w:r>
      <w:r w:rsidR="62A21F32" w:rsidRPr="000965A8">
        <w:t xml:space="preserve"> of </w:t>
      </w:r>
      <w:r w:rsidR="000965A8" w:rsidRPr="000965A8">
        <w:t>C</w:t>
      </w:r>
      <w:r w:rsidR="62A21F32" w:rsidRPr="000965A8">
        <w:t>hemicals</w:t>
      </w:r>
    </w:p>
    <w:p w14:paraId="4616A92C" w14:textId="5E9DD277" w:rsidR="4DCAE27F" w:rsidRDefault="535D1E74" w:rsidP="1B72B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/>
        </w:rPr>
      </w:pPr>
      <w:r w:rsidRPr="1B72BE9F">
        <w:rPr>
          <w:lang w:val="en-GB"/>
        </w:rPr>
        <w:t xml:space="preserve">The criteria are based on the </w:t>
      </w:r>
      <w:r w:rsidR="68FF670E" w:rsidRPr="1B72BE9F">
        <w:rPr>
          <w:lang w:val="en-GB"/>
        </w:rPr>
        <w:t>Globally Harmonized System of Classification and Labelling of Chemicals (GHS), regulation (EC) No 1272/2008</w:t>
      </w:r>
      <w:r w:rsidR="009A0DC1">
        <w:rPr>
          <w:lang w:val="en-GB"/>
        </w:rPr>
        <w:t>.</w:t>
      </w:r>
    </w:p>
    <w:p w14:paraId="63A08E60" w14:textId="77777777" w:rsidR="00782C8D" w:rsidRDefault="00782C8D" w:rsidP="1B72B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 Pro Cond Light" w:hAnsi="Verdana Pro Cond Light"/>
          <w:color w:val="000000" w:themeColor="text1"/>
          <w:sz w:val="22"/>
          <w:szCs w:val="22"/>
          <w:lang w:val="en-GB" w:eastAsia="en-US"/>
        </w:rPr>
      </w:pPr>
    </w:p>
    <w:p w14:paraId="53E1342A" w14:textId="4ECE83BB" w:rsidR="00782C8D" w:rsidRDefault="00782C8D" w:rsidP="1B72B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 Pro Cond Light" w:hAnsi="Verdana Pro Cond Light"/>
          <w:color w:val="000000" w:themeColor="text1"/>
          <w:sz w:val="22"/>
          <w:szCs w:val="22"/>
          <w:lang w:val="en-GB" w:eastAsia="en-US"/>
        </w:rPr>
        <w:sectPr w:rsidR="00782C8D" w:rsidSect="00F76191">
          <w:headerReference w:type="default" r:id="rId11"/>
          <w:headerReference w:type="first" r:id="rId12"/>
          <w:pgSz w:w="11906" w:h="16838"/>
          <w:pgMar w:top="1560" w:right="1417" w:bottom="1417" w:left="1417" w:header="56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Ind w:w="108" w:type="dxa"/>
        <w:tblBorders>
          <w:top w:val="single" w:sz="4" w:space="0" w:color="4AAEA3"/>
          <w:left w:val="single" w:sz="4" w:space="0" w:color="4AAEA3"/>
          <w:bottom w:val="single" w:sz="4" w:space="0" w:color="4AAEA3"/>
          <w:right w:val="single" w:sz="4" w:space="0" w:color="4AAEA3"/>
          <w:insideH w:val="single" w:sz="4" w:space="0" w:color="4AAEA3"/>
          <w:insideV w:val="single" w:sz="4" w:space="0" w:color="4AAEA3"/>
        </w:tblBorders>
        <w:tblLook w:val="04A0" w:firstRow="1" w:lastRow="0" w:firstColumn="1" w:lastColumn="0" w:noHBand="0" w:noVBand="1"/>
      </w:tblPr>
      <w:tblGrid>
        <w:gridCol w:w="1757"/>
        <w:gridCol w:w="677"/>
      </w:tblGrid>
      <w:tr w:rsidR="00FE78CF" w:rsidRPr="00225AE2" w14:paraId="21F6E68F" w14:textId="77777777" w:rsidTr="009A0DC1">
        <w:trPr>
          <w:trHeight w:val="300"/>
        </w:trPr>
        <w:tc>
          <w:tcPr>
            <w:tcW w:w="1872" w:type="dxa"/>
            <w:shd w:val="clear" w:color="auto" w:fill="357B73"/>
            <w:vAlign w:val="center"/>
          </w:tcPr>
          <w:p w14:paraId="3D93FDF2" w14:textId="51028AA5" w:rsidR="00FE78CF" w:rsidRPr="00225AE2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val="en-GB" w:eastAsia="en-US"/>
              </w:rPr>
            </w:pPr>
            <w:r w:rsidRPr="00225AE2"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val="en-GB" w:eastAsia="en-US"/>
              </w:rPr>
              <w:t>Physical hazard statement</w:t>
            </w:r>
          </w:p>
        </w:tc>
        <w:tc>
          <w:tcPr>
            <w:tcW w:w="562" w:type="dxa"/>
            <w:tcBorders>
              <w:right w:val="single" w:sz="4" w:space="0" w:color="FFFFFF" w:themeColor="background1"/>
            </w:tcBorders>
            <w:shd w:val="clear" w:color="auto" w:fill="357B73"/>
            <w:vAlign w:val="center"/>
          </w:tcPr>
          <w:p w14:paraId="7181F73D" w14:textId="20BF86B9" w:rsidR="00FE78CF" w:rsidRPr="00225AE2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val="en-GB" w:eastAsia="en-US"/>
              </w:rPr>
            </w:pPr>
            <w:r w:rsidRPr="00225AE2"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val="en-GB" w:eastAsia="en-US"/>
              </w:rPr>
              <w:t>Score (</w:t>
            </w:r>
            <w:r w:rsidR="00DC4E3D" w:rsidRPr="00225AE2"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val="en-GB" w:eastAsia="en-US"/>
              </w:rPr>
              <w:t>S</w:t>
            </w:r>
            <w:r w:rsidRPr="00225AE2"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val="en-GB" w:eastAsia="en-US"/>
              </w:rPr>
              <w:t>)</w:t>
            </w:r>
          </w:p>
        </w:tc>
      </w:tr>
      <w:tr w:rsidR="00FE78CF" w:rsidRPr="00DC4E3D" w14:paraId="7F0BBDC5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17F7B81F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H200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55F2B45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29E9BA11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007C2841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H201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620F87E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1EE679CC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0693D746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H202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0B65BA3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1EA34A98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0ADB4B13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H203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9DBC1B7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092CD95E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79717D23" w14:textId="19C56A75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H204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1DA9257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36A0F87C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189BA2BF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H205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5BF4AB0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6CA3AEFB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58698FE0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H206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4C1749E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7755E5ED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5E7CCE5D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H207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505B74C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3C3E8C94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3562B719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H208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717199E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5E6F7669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46A3DCDC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H220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75CCE9F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38A1F9FF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751E9360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H221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108C608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7BAE374D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3900845A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H222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3E24CEE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79CE1339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658C73F1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H223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848BED7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7E99E67F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71C458BB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H224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48CF4D9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0CF99C8A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712C82C8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H225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3A21B2E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6878CFE8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5EF71207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H226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77B83B7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41AB8A0E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7DCCDB9B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H227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711D1D4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5E238A16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6CDC2555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H228 (category 1)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4911D72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1D56ED21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14754882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H228 (category 2)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26B66E2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3E9B0F23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2AD3DCBD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H229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CC7F8A8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7086435F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5DA07DD7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1088FEC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75734F3C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69D3906A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H231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4582AEA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05B52490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63B3B74B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H232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08B93E3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389AABAD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11486B87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H240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251D665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5EBD9E87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20B8E6BD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H241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078A0CC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22B3EB86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2B779AF4" w14:textId="179E457E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6"/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H242 (</w:t>
            </w:r>
            <w:r w:rsidR="000965A8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t</w:t>
            </w: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ype C &amp; D)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6804A6C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4BCA8C43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6B5F48CC" w14:textId="08C82A0D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H242 (</w:t>
            </w:r>
            <w:r w:rsidR="000965A8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t</w:t>
            </w: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ype E &amp; F)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178A123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690C3E3A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3473CA4C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H250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92484EC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68D7EFF5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15BC37E0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H251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0B84910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3E3F09F4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3F1D81AA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H252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A0433AB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24B008BD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136D9F86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H260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F8D8EE6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2A4A12CE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104C05D1" w14:textId="193F6AA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H261</w:t>
            </w:r>
            <w:r w:rsidR="000965A8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 xml:space="preserve"> </w:t>
            </w: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(category</w:t>
            </w:r>
            <w:r w:rsidR="00A6156B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 xml:space="preserve"> </w:t>
            </w: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2)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F87DD85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538DB5EB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76C03A5B" w14:textId="30EB4B95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H261</w:t>
            </w:r>
            <w:r w:rsidR="000965A8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 xml:space="preserve"> </w:t>
            </w: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(category</w:t>
            </w:r>
            <w:r w:rsidR="00A6156B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 xml:space="preserve"> </w:t>
            </w: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3)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78BA6E0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5BDC08D4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7E88CA57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H270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0C760DE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64751805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234B813D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H271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2A9BAEF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0F3507C5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7B2776AB" w14:textId="7AE657EB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H272</w:t>
            </w:r>
            <w:r w:rsidR="000965A8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 xml:space="preserve"> </w:t>
            </w: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(category</w:t>
            </w:r>
            <w:r w:rsidR="00A6156B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 xml:space="preserve"> </w:t>
            </w: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2)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4006BD1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1E3F0952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0077D80D" w14:textId="71C7CE3A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H272</w:t>
            </w:r>
            <w:r w:rsidR="000965A8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 xml:space="preserve"> </w:t>
            </w: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(category</w:t>
            </w:r>
            <w:r w:rsidR="00A6156B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 xml:space="preserve"> </w:t>
            </w: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3)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0A82924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6C8ECD76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73555974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H280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C55A45A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577A0958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3D6D0D9F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H281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BB05A04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6B52B26E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7FC55027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H290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FA0EA8B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43CE62B3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5E94214B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EUH001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3CE137C" w14:textId="77777777" w:rsidR="00FE78CF" w:rsidRPr="00F76191" w:rsidRDefault="00FE78CF" w:rsidP="00FE78CF">
            <w:pPr>
              <w:jc w:val="center"/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5AEDA77D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5FAD412C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EUH006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4AA0E27" w14:textId="77777777" w:rsidR="00FE78CF" w:rsidRPr="00F76191" w:rsidRDefault="00FE78CF" w:rsidP="00FE78CF">
            <w:pPr>
              <w:jc w:val="center"/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3B59BBA4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6A3F3E86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EUH014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74E8BE6" w14:textId="77777777" w:rsidR="00FE78CF" w:rsidRPr="00F76191" w:rsidRDefault="00FE78CF" w:rsidP="00FE78CF">
            <w:pPr>
              <w:jc w:val="center"/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17696D69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7C80482F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EUH018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05E2976" w14:textId="77777777" w:rsidR="00FE78CF" w:rsidRPr="00F76191" w:rsidRDefault="00FE78CF" w:rsidP="00FE78CF">
            <w:pPr>
              <w:jc w:val="center"/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03EF8754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42970AF1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EUH019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78BA96D" w14:textId="77777777" w:rsidR="00FE78CF" w:rsidRPr="00F76191" w:rsidRDefault="00FE78CF" w:rsidP="00FE78CF">
            <w:pPr>
              <w:jc w:val="center"/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6CF7CE4D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172754FF" w14:textId="77777777" w:rsidR="00FE78CF" w:rsidRPr="00F76191" w:rsidRDefault="00FE78CF" w:rsidP="00FE78CF">
            <w:pPr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EUH044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AF465F2" w14:textId="77777777" w:rsidR="00FE78CF" w:rsidRPr="00F76191" w:rsidRDefault="00FE78CF" w:rsidP="00FE78CF">
            <w:pPr>
              <w:jc w:val="center"/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71D42C3A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79B2548F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EUH209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962E411" w14:textId="77777777" w:rsidR="00FE78CF" w:rsidRPr="00F76191" w:rsidRDefault="00FE78CF" w:rsidP="00FE78CF">
            <w:pPr>
              <w:jc w:val="center"/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7F1D982F" w14:textId="77777777" w:rsidTr="00FE78CF">
        <w:trPr>
          <w:trHeight w:val="300"/>
        </w:trPr>
        <w:tc>
          <w:tcPr>
            <w:tcW w:w="1872" w:type="dxa"/>
            <w:shd w:val="clear" w:color="auto" w:fill="auto"/>
            <w:vAlign w:val="center"/>
          </w:tcPr>
          <w:p w14:paraId="73B194EB" w14:textId="77777777" w:rsidR="00FE78CF" w:rsidRPr="00F76191" w:rsidRDefault="00FE78CF" w:rsidP="00FE7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C00000"/>
                <w:sz w:val="18"/>
                <w:szCs w:val="18"/>
                <w:lang w:val="en-GB" w:eastAsia="en-US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EUH209A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EAAF247" w14:textId="77777777" w:rsidR="00FE78CF" w:rsidRPr="00F76191" w:rsidRDefault="00FE78CF" w:rsidP="00FE78CF">
            <w:pPr>
              <w:jc w:val="center"/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</w:pPr>
            <w:r w:rsidRPr="00F76191">
              <w:rPr>
                <w:rFonts w:ascii="Verdana Pro Cond Light" w:hAnsi="Verdana Pro Cond Light" w:cs="Arial"/>
                <w:color w:val="C00000"/>
                <w:sz w:val="18"/>
                <w:szCs w:val="18"/>
                <w:lang w:val="en-GB"/>
              </w:rPr>
              <w:t>2</w:t>
            </w:r>
          </w:p>
        </w:tc>
      </w:tr>
    </w:tbl>
    <w:p w14:paraId="32DD712B" w14:textId="77777777" w:rsidR="00782C8D" w:rsidRDefault="00782C8D" w:rsidP="1B72B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/>
        </w:rPr>
      </w:pPr>
    </w:p>
    <w:p w14:paraId="09009EE1" w14:textId="77777777" w:rsidR="00782C8D" w:rsidRDefault="00782C8D" w:rsidP="1B72B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/>
        </w:rPr>
      </w:pPr>
    </w:p>
    <w:p w14:paraId="019B1996" w14:textId="744B54C9" w:rsidR="00782C8D" w:rsidRDefault="00782C8D" w:rsidP="1B72B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/>
        </w:rPr>
        <w:sectPr w:rsidR="00782C8D" w:rsidSect="00782C8D">
          <w:type w:val="continuous"/>
          <w:pgSz w:w="11906" w:h="16838"/>
          <w:pgMar w:top="2410" w:right="1417" w:bottom="1417" w:left="1417" w:header="568" w:footer="708" w:gutter="0"/>
          <w:cols w:num="3" w:space="708"/>
          <w:docGrid w:linePitch="360"/>
        </w:sectPr>
      </w:pPr>
    </w:p>
    <w:p w14:paraId="74B95B57" w14:textId="05F20435" w:rsidR="00FE78CF" w:rsidRDefault="00FE78CF" w:rsidP="1B72B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/>
        </w:rPr>
      </w:pPr>
    </w:p>
    <w:p w14:paraId="30981270" w14:textId="77777777" w:rsidR="00FE78CF" w:rsidRDefault="00FE78CF" w:rsidP="1B72B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/>
        </w:rPr>
      </w:pPr>
    </w:p>
    <w:p w14:paraId="19F16AD5" w14:textId="77777777" w:rsidR="00FE78CF" w:rsidRDefault="00FE78CF" w:rsidP="1B72B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/>
        </w:rPr>
      </w:pPr>
    </w:p>
    <w:p w14:paraId="24BAA39F" w14:textId="199F93AF" w:rsidR="00FE78CF" w:rsidRDefault="00FE78CF" w:rsidP="1B72B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/>
        </w:rPr>
        <w:sectPr w:rsidR="00FE78CF" w:rsidSect="00FE78CF">
          <w:type w:val="continuous"/>
          <w:pgSz w:w="11906" w:h="16838"/>
          <w:pgMar w:top="2410" w:right="1417" w:bottom="1417" w:left="1417" w:header="568" w:footer="708" w:gutter="0"/>
          <w:cols w:num="3" w:space="708"/>
          <w:docGrid w:linePitch="360"/>
        </w:sectPr>
      </w:pPr>
    </w:p>
    <w:tbl>
      <w:tblPr>
        <w:tblStyle w:val="Tabellrutenett"/>
        <w:tblW w:w="2439" w:type="dxa"/>
        <w:tblInd w:w="108" w:type="dxa"/>
        <w:tblBorders>
          <w:top w:val="single" w:sz="4" w:space="0" w:color="4AAEA3"/>
          <w:left w:val="single" w:sz="4" w:space="0" w:color="4AAEA3"/>
          <w:bottom w:val="single" w:sz="4" w:space="0" w:color="4AAEA3"/>
          <w:right w:val="single" w:sz="4" w:space="0" w:color="4AAEA3"/>
          <w:insideH w:val="single" w:sz="4" w:space="0" w:color="4AAEA3"/>
          <w:insideV w:val="single" w:sz="4" w:space="0" w:color="4AAEA3"/>
        </w:tblBorders>
        <w:tblLook w:val="04A0" w:firstRow="1" w:lastRow="0" w:firstColumn="1" w:lastColumn="0" w:noHBand="0" w:noVBand="1"/>
      </w:tblPr>
      <w:tblGrid>
        <w:gridCol w:w="1730"/>
        <w:gridCol w:w="709"/>
      </w:tblGrid>
      <w:tr w:rsidR="00FE78CF" w:rsidRPr="00225AE2" w14:paraId="2D8E7E39" w14:textId="77777777" w:rsidTr="009A0DC1">
        <w:trPr>
          <w:trHeight w:val="300"/>
        </w:trPr>
        <w:tc>
          <w:tcPr>
            <w:tcW w:w="1730" w:type="dxa"/>
            <w:shd w:val="clear" w:color="auto" w:fill="357B73"/>
            <w:vAlign w:val="center"/>
          </w:tcPr>
          <w:p w14:paraId="55081A78" w14:textId="391D4298" w:rsidR="00FE78CF" w:rsidRPr="00225AE2" w:rsidRDefault="00DC4E3D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val="en-GB" w:eastAsia="en-US"/>
              </w:rPr>
            </w:pPr>
            <w:r w:rsidRPr="00225AE2"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val="en-GB" w:eastAsia="en-US"/>
              </w:rPr>
              <w:t>H</w:t>
            </w:r>
            <w:r w:rsidR="00FE78CF" w:rsidRPr="00225AE2"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val="en-GB" w:eastAsia="en-US"/>
              </w:rPr>
              <w:t>ealth hazard statement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357B73"/>
            <w:vAlign w:val="center"/>
          </w:tcPr>
          <w:p w14:paraId="32EC47E2" w14:textId="22910609" w:rsidR="00FE78CF" w:rsidRPr="00225AE2" w:rsidRDefault="00DC4E3D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val="en-GB" w:eastAsia="en-US"/>
              </w:rPr>
            </w:pPr>
            <w:r w:rsidRPr="00225AE2"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val="en-GB" w:eastAsia="en-US"/>
              </w:rPr>
              <w:t>S</w:t>
            </w:r>
            <w:r w:rsidR="00FE78CF" w:rsidRPr="00225AE2"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val="en-GB" w:eastAsia="en-US"/>
              </w:rPr>
              <w:t>core (</w:t>
            </w:r>
            <w:r w:rsidRPr="00225AE2"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val="en-GB" w:eastAsia="en-US"/>
              </w:rPr>
              <w:t>S</w:t>
            </w:r>
            <w:r w:rsidR="00FE78CF" w:rsidRPr="00225AE2"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val="en-GB" w:eastAsia="en-US"/>
              </w:rPr>
              <w:t>)</w:t>
            </w:r>
          </w:p>
        </w:tc>
      </w:tr>
      <w:tr w:rsidR="00FE78CF" w:rsidRPr="00DC4E3D" w14:paraId="791D5588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4E8D115F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E039FD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323B5820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75672C34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7B304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38C35A9B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29B09BE4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59529D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76FFA322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3977B2AB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0E131A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52BA5A82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4822559F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BA1C8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606B0EE3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522F19CC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D8883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3CC7BC3F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0626F9B4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61CB3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629C3A7A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558D7FB9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69B6F2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65EADAEC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1E7C4EFC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EEC45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6885EB8A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7DDD70FD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449146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14A0D61D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74AA076A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B5822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52C7204A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7942CE21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ABFA7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4ED9DDD7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3C2EA0AF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D71F55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5A937758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17205268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061654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0E0C13B6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66565B36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F60435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58E3D1AB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005CF846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D5007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2CD7A1FB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36EF6D05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36368E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16A1010B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676DDD18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C7C36C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2379B715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39B1D1BF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C8628D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67CE4ADB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0F715DD9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A10AC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2C529FEA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701AB27C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3E33B6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28237367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78CDA2D4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ECA285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728327ED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730EFAE6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BC4A82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2A8E4DFA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2C9FB2F9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A1C850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00D699B6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30522A0A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3A0A4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28EE0369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43D37E55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6"/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H341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A26AF5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222BD00D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4E0594C8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299AFE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79E7BF85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05D94B08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20303E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224087F9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4AAB3B0A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04D3DD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2A048892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20AD2843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H361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E4CC9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2100A2A5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0AF822CF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H362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C0389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4C393866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306C61CB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07805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7862A621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4A358010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H371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7ECBF2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09127B96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7B8C2810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H372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E9DEBB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45B3ECE4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251BE031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H373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48235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002AE394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2293C52A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EUH029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FFAA09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38D4A414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0869631C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EUH031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0BE172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3D384909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50A75D5E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EUH032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B5D1A4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1BF2E8A7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3356AA8C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EUH066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D99341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2293A8DD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50D3FF72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EUH070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FB9BC4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7D401E84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15C1E71A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EUH071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CB887E" w14:textId="77777777" w:rsidR="00FE78CF" w:rsidRPr="000965A8" w:rsidRDefault="00FE78CF" w:rsidP="003C1E8A">
            <w:pPr>
              <w:jc w:val="center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3A68079F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1FDF9881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EUH201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EA4BBA" w14:textId="77777777" w:rsidR="00FE78CF" w:rsidRPr="000965A8" w:rsidRDefault="00FE78CF" w:rsidP="003C1E8A">
            <w:pPr>
              <w:jc w:val="center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7C55B6CF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43F92B90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EUH201A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09141F" w14:textId="77777777" w:rsidR="00FE78CF" w:rsidRPr="000965A8" w:rsidRDefault="00FE78CF" w:rsidP="003C1E8A">
            <w:pPr>
              <w:jc w:val="center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2DD6B9AC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7F532353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EUH202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7F185F" w14:textId="77777777" w:rsidR="00FE78CF" w:rsidRPr="000965A8" w:rsidRDefault="00FE78CF" w:rsidP="003C1E8A">
            <w:pPr>
              <w:jc w:val="center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4A7D1B65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219DC810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EUH203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0D9B7" w14:textId="77777777" w:rsidR="00FE78CF" w:rsidRPr="000965A8" w:rsidRDefault="00FE78CF" w:rsidP="003C1E8A">
            <w:pPr>
              <w:jc w:val="center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67D92467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3C90CA55" w14:textId="77777777" w:rsidR="00FE78CF" w:rsidRPr="000965A8" w:rsidRDefault="00FE78CF" w:rsidP="003C1E8A">
            <w:pPr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EUH204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AEF426" w14:textId="77777777" w:rsidR="00FE78CF" w:rsidRPr="000965A8" w:rsidRDefault="00FE78CF" w:rsidP="003C1E8A">
            <w:pPr>
              <w:jc w:val="center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1CEC1369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10567204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EUH205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60BAD3" w14:textId="77777777" w:rsidR="00FE78CF" w:rsidRPr="000965A8" w:rsidRDefault="00FE78CF" w:rsidP="003C1E8A">
            <w:pPr>
              <w:jc w:val="center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2</w:t>
            </w:r>
          </w:p>
        </w:tc>
      </w:tr>
      <w:tr w:rsidR="00FE78CF" w:rsidRPr="00DC4E3D" w14:paraId="654F2830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27B1660F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2F5496" w:themeColor="accent1" w:themeShade="BF"/>
                <w:sz w:val="18"/>
                <w:szCs w:val="18"/>
                <w:lang w:val="en-GB" w:eastAsia="en-US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EUH206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A508CB" w14:textId="77777777" w:rsidR="00FE78CF" w:rsidRPr="000965A8" w:rsidRDefault="00FE78CF" w:rsidP="003C1E8A">
            <w:pPr>
              <w:jc w:val="center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5981C0EE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28C5AE7A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EUH207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C34D85" w14:textId="77777777" w:rsidR="00FE78CF" w:rsidRPr="000965A8" w:rsidRDefault="00FE78CF" w:rsidP="003C1E8A">
            <w:pPr>
              <w:jc w:val="center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3</w:t>
            </w:r>
          </w:p>
        </w:tc>
      </w:tr>
      <w:tr w:rsidR="00FE78CF" w:rsidRPr="00DC4E3D" w14:paraId="7EB050C5" w14:textId="77777777" w:rsidTr="00FE78CF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61D34D97" w14:textId="77777777" w:rsidR="00FE78CF" w:rsidRPr="000965A8" w:rsidRDefault="00FE78CF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EUH208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547F9D" w14:textId="77777777" w:rsidR="00FE78CF" w:rsidRPr="000965A8" w:rsidRDefault="00FE78CF" w:rsidP="003C1E8A">
            <w:pPr>
              <w:jc w:val="center"/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</w:pPr>
            <w:r w:rsidRPr="000965A8">
              <w:rPr>
                <w:rFonts w:ascii="Verdana Pro Cond Light" w:hAnsi="Verdana Pro Cond Light" w:cs="Arial"/>
                <w:color w:val="2F5496" w:themeColor="accent1" w:themeShade="BF"/>
                <w:sz w:val="18"/>
                <w:szCs w:val="18"/>
                <w:lang w:val="en-GB"/>
              </w:rPr>
              <w:t>2</w:t>
            </w:r>
          </w:p>
        </w:tc>
      </w:tr>
    </w:tbl>
    <w:p w14:paraId="765D4103" w14:textId="16FC39F5" w:rsidR="003C0BB9" w:rsidRDefault="003C0BB9">
      <w:pPr>
        <w:spacing w:after="160" w:line="259" w:lineRule="auto"/>
        <w:rPr>
          <w:rFonts w:ascii="Verdana Pro Cond Light" w:hAnsi="Verdana Pro Cond Light"/>
          <w:color w:val="FFFFFF" w:themeColor="background1"/>
          <w:sz w:val="20"/>
          <w:szCs w:val="20"/>
          <w:lang w:val="en-GB" w:eastAsia="en-US"/>
        </w:rPr>
      </w:pPr>
    </w:p>
    <w:tbl>
      <w:tblPr>
        <w:tblStyle w:val="Tabellrutenett"/>
        <w:tblW w:w="2439" w:type="dxa"/>
        <w:tblInd w:w="108" w:type="dxa"/>
        <w:tblBorders>
          <w:top w:val="single" w:sz="4" w:space="0" w:color="4AAEA3"/>
          <w:left w:val="single" w:sz="4" w:space="0" w:color="4AAEA3"/>
          <w:bottom w:val="single" w:sz="4" w:space="0" w:color="4AAEA3"/>
          <w:right w:val="single" w:sz="4" w:space="0" w:color="4AAEA3"/>
          <w:insideH w:val="single" w:sz="4" w:space="0" w:color="4AAEA3"/>
          <w:insideV w:val="single" w:sz="4" w:space="0" w:color="4AAEA3"/>
        </w:tblBorders>
        <w:tblLook w:val="04A0" w:firstRow="1" w:lastRow="0" w:firstColumn="1" w:lastColumn="0" w:noHBand="0" w:noVBand="1"/>
      </w:tblPr>
      <w:tblGrid>
        <w:gridCol w:w="1730"/>
        <w:gridCol w:w="709"/>
      </w:tblGrid>
      <w:tr w:rsidR="00DC4E3D" w:rsidRPr="00225AE2" w14:paraId="0BC944DA" w14:textId="77777777" w:rsidTr="009A0DC1">
        <w:trPr>
          <w:trHeight w:val="300"/>
        </w:trPr>
        <w:tc>
          <w:tcPr>
            <w:tcW w:w="1730" w:type="dxa"/>
            <w:shd w:val="clear" w:color="auto" w:fill="357B73"/>
            <w:vAlign w:val="center"/>
          </w:tcPr>
          <w:p w14:paraId="7AD5713C" w14:textId="442DCE74" w:rsidR="00DC4E3D" w:rsidRPr="00225AE2" w:rsidRDefault="00DC4E3D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val="en-GB" w:eastAsia="en-US"/>
              </w:rPr>
            </w:pPr>
            <w:r w:rsidRPr="00225AE2"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val="en-GB" w:eastAsia="en-US"/>
              </w:rPr>
              <w:lastRenderedPageBreak/>
              <w:t>Environmental hazard statement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shd w:val="clear" w:color="auto" w:fill="357B73"/>
            <w:vAlign w:val="center"/>
          </w:tcPr>
          <w:p w14:paraId="696611E4" w14:textId="35CD323F" w:rsidR="00DC4E3D" w:rsidRPr="00225AE2" w:rsidRDefault="00DC4E3D" w:rsidP="003C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val="en-GB" w:eastAsia="en-US"/>
              </w:rPr>
            </w:pPr>
            <w:r w:rsidRPr="00225AE2">
              <w:rPr>
                <w:rFonts w:ascii="Verdana Pro Cond Light" w:hAnsi="Verdana Pro Cond Light"/>
                <w:b/>
                <w:bCs/>
                <w:color w:val="FFFFFF" w:themeColor="background1"/>
                <w:sz w:val="20"/>
                <w:szCs w:val="20"/>
                <w:lang w:val="en-GB" w:eastAsia="en-US"/>
              </w:rPr>
              <w:t>Score (S)</w:t>
            </w:r>
          </w:p>
        </w:tc>
      </w:tr>
      <w:tr w:rsidR="00DC4E3D" w:rsidRPr="00DC4E3D" w14:paraId="0029FFDA" w14:textId="77777777" w:rsidTr="003C1E8A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43631DB0" w14:textId="0DE60A05" w:rsidR="00DC4E3D" w:rsidRPr="00A6156B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1E4641"/>
                <w:sz w:val="18"/>
                <w:szCs w:val="18"/>
                <w:lang w:val="en-GB" w:eastAsia="en-US"/>
              </w:rPr>
            </w:pPr>
            <w:r w:rsidRPr="00A6156B">
              <w:rPr>
                <w:rFonts w:ascii="Verdana Pro Cond Light" w:hAnsi="Verdana Pro Cond Light" w:cs="Arial"/>
                <w:color w:val="1E4641"/>
                <w:sz w:val="18"/>
                <w:szCs w:val="18"/>
                <w:lang w:val="en-GB"/>
              </w:rPr>
              <w:t>H400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76AF25" w14:textId="77777777" w:rsidR="00DC4E3D" w:rsidRPr="00A6156B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1E4641"/>
                <w:sz w:val="18"/>
                <w:szCs w:val="18"/>
                <w:lang w:val="en-GB" w:eastAsia="en-US"/>
              </w:rPr>
            </w:pPr>
            <w:r w:rsidRPr="00A6156B">
              <w:rPr>
                <w:rFonts w:ascii="Verdana Pro Cond Light" w:hAnsi="Verdana Pro Cond Light" w:cs="Arial"/>
                <w:color w:val="1E4641"/>
                <w:sz w:val="18"/>
                <w:szCs w:val="18"/>
                <w:lang w:val="en-GB"/>
              </w:rPr>
              <w:t>3</w:t>
            </w:r>
          </w:p>
        </w:tc>
      </w:tr>
      <w:tr w:rsidR="00DC4E3D" w:rsidRPr="00DC4E3D" w14:paraId="716B07DF" w14:textId="77777777" w:rsidTr="003C1E8A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664906C4" w14:textId="217A4207" w:rsidR="00DC4E3D" w:rsidRPr="00A6156B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1E4641"/>
                <w:sz w:val="18"/>
                <w:szCs w:val="18"/>
                <w:lang w:val="en-GB" w:eastAsia="en-US"/>
              </w:rPr>
            </w:pPr>
            <w:r w:rsidRPr="00A6156B">
              <w:rPr>
                <w:rFonts w:ascii="Verdana Pro Cond Light" w:hAnsi="Verdana Pro Cond Light" w:cs="Arial"/>
                <w:color w:val="1E4641"/>
                <w:sz w:val="18"/>
                <w:szCs w:val="18"/>
                <w:lang w:val="en-GB"/>
              </w:rPr>
              <w:t>H401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956C5E" w14:textId="77777777" w:rsidR="00DC4E3D" w:rsidRPr="00A6156B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1E4641"/>
                <w:sz w:val="18"/>
                <w:szCs w:val="18"/>
                <w:lang w:val="en-GB" w:eastAsia="en-US"/>
              </w:rPr>
            </w:pPr>
            <w:r w:rsidRPr="00A6156B">
              <w:rPr>
                <w:rFonts w:ascii="Verdana Pro Cond Light" w:hAnsi="Verdana Pro Cond Light" w:cs="Arial"/>
                <w:color w:val="1E4641"/>
                <w:sz w:val="18"/>
                <w:szCs w:val="18"/>
                <w:lang w:val="en-GB"/>
              </w:rPr>
              <w:t>3</w:t>
            </w:r>
          </w:p>
        </w:tc>
      </w:tr>
      <w:tr w:rsidR="00DC4E3D" w:rsidRPr="00DC4E3D" w14:paraId="2F7ABDCF" w14:textId="77777777" w:rsidTr="003C1E8A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3219D8EB" w14:textId="436C61AE" w:rsidR="00DC4E3D" w:rsidRPr="00A6156B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1E4641"/>
                <w:sz w:val="18"/>
                <w:szCs w:val="18"/>
                <w:lang w:val="en-GB" w:eastAsia="en-US"/>
              </w:rPr>
            </w:pPr>
            <w:r w:rsidRPr="00A6156B">
              <w:rPr>
                <w:rFonts w:ascii="Verdana Pro Cond Light" w:hAnsi="Verdana Pro Cond Light" w:cs="Arial"/>
                <w:color w:val="1E4641"/>
                <w:sz w:val="18"/>
                <w:szCs w:val="18"/>
                <w:lang w:val="en-GB"/>
              </w:rPr>
              <w:t>H402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A38039" w14:textId="77777777" w:rsidR="00DC4E3D" w:rsidRPr="00A6156B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1E4641"/>
                <w:sz w:val="18"/>
                <w:szCs w:val="18"/>
                <w:lang w:val="en-GB" w:eastAsia="en-US"/>
              </w:rPr>
            </w:pPr>
            <w:r w:rsidRPr="00A6156B">
              <w:rPr>
                <w:rFonts w:ascii="Verdana Pro Cond Light" w:hAnsi="Verdana Pro Cond Light" w:cs="Arial"/>
                <w:color w:val="1E4641"/>
                <w:sz w:val="18"/>
                <w:szCs w:val="18"/>
                <w:lang w:val="en-GB"/>
              </w:rPr>
              <w:t>2</w:t>
            </w:r>
          </w:p>
        </w:tc>
      </w:tr>
      <w:tr w:rsidR="00DC4E3D" w:rsidRPr="00DC4E3D" w14:paraId="0C671982" w14:textId="77777777" w:rsidTr="003C1E8A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12D08365" w14:textId="0F1F288A" w:rsidR="00DC4E3D" w:rsidRPr="00A6156B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1E4641"/>
                <w:sz w:val="18"/>
                <w:szCs w:val="18"/>
                <w:lang w:val="en-GB" w:eastAsia="en-US"/>
              </w:rPr>
            </w:pPr>
            <w:r w:rsidRPr="00A6156B">
              <w:rPr>
                <w:rFonts w:ascii="Verdana Pro Cond Light" w:hAnsi="Verdana Pro Cond Light" w:cs="Arial"/>
                <w:color w:val="1E4641"/>
                <w:sz w:val="18"/>
                <w:szCs w:val="18"/>
                <w:lang w:val="en-GB"/>
              </w:rPr>
              <w:t>H410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4D8152" w14:textId="3AB81FEB" w:rsidR="00DC4E3D" w:rsidRPr="00A6156B" w:rsidRDefault="00567D45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1E4641"/>
                <w:sz w:val="18"/>
                <w:szCs w:val="18"/>
                <w:lang w:val="en-GB" w:eastAsia="en-US"/>
              </w:rPr>
            </w:pPr>
            <w:r w:rsidRPr="00A6156B">
              <w:rPr>
                <w:rFonts w:ascii="Verdana Pro Cond Light" w:hAnsi="Verdana Pro Cond Light" w:cs="Arial"/>
                <w:color w:val="1E4641"/>
                <w:sz w:val="18"/>
                <w:szCs w:val="18"/>
                <w:lang w:val="en-GB"/>
              </w:rPr>
              <w:t>3</w:t>
            </w:r>
          </w:p>
        </w:tc>
      </w:tr>
      <w:tr w:rsidR="00DC4E3D" w:rsidRPr="00DC4E3D" w14:paraId="64590A10" w14:textId="77777777" w:rsidTr="003C1E8A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6A4A4739" w14:textId="24A88053" w:rsidR="00DC4E3D" w:rsidRPr="00A6156B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1E4641"/>
                <w:sz w:val="18"/>
                <w:szCs w:val="18"/>
                <w:lang w:val="en-GB" w:eastAsia="en-US"/>
              </w:rPr>
            </w:pPr>
            <w:r w:rsidRPr="00A6156B">
              <w:rPr>
                <w:rFonts w:ascii="Verdana Pro Cond Light" w:hAnsi="Verdana Pro Cond Light" w:cs="Arial"/>
                <w:color w:val="1E4641"/>
                <w:sz w:val="18"/>
                <w:szCs w:val="18"/>
                <w:lang w:val="en-GB"/>
              </w:rPr>
              <w:t>H411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B3BFC" w14:textId="77777777" w:rsidR="00DC4E3D" w:rsidRPr="00A6156B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1E4641"/>
                <w:sz w:val="18"/>
                <w:szCs w:val="18"/>
                <w:lang w:val="en-GB" w:eastAsia="en-US"/>
              </w:rPr>
            </w:pPr>
            <w:r w:rsidRPr="00A6156B">
              <w:rPr>
                <w:rFonts w:ascii="Verdana Pro Cond Light" w:hAnsi="Verdana Pro Cond Light" w:cs="Arial"/>
                <w:color w:val="1E4641"/>
                <w:sz w:val="18"/>
                <w:szCs w:val="18"/>
                <w:lang w:val="en-GB"/>
              </w:rPr>
              <w:t>3</w:t>
            </w:r>
          </w:p>
        </w:tc>
      </w:tr>
      <w:tr w:rsidR="00DC4E3D" w:rsidRPr="00DC4E3D" w14:paraId="50F31B3F" w14:textId="77777777" w:rsidTr="003C1E8A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46E3E7A5" w14:textId="62416FBD" w:rsidR="00DC4E3D" w:rsidRPr="00A6156B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1E4641"/>
                <w:sz w:val="18"/>
                <w:szCs w:val="18"/>
                <w:lang w:val="en-GB" w:eastAsia="en-US"/>
              </w:rPr>
            </w:pPr>
            <w:r w:rsidRPr="00A6156B">
              <w:rPr>
                <w:rFonts w:ascii="Verdana Pro Cond Light" w:hAnsi="Verdana Pro Cond Light" w:cs="Arial"/>
                <w:color w:val="1E4641"/>
                <w:sz w:val="18"/>
                <w:szCs w:val="18"/>
                <w:lang w:val="en-GB"/>
              </w:rPr>
              <w:t>H412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A8AFF" w14:textId="77777777" w:rsidR="00DC4E3D" w:rsidRPr="00A6156B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1E4641"/>
                <w:sz w:val="18"/>
                <w:szCs w:val="18"/>
                <w:lang w:val="en-GB" w:eastAsia="en-US"/>
              </w:rPr>
            </w:pPr>
            <w:r w:rsidRPr="00A6156B">
              <w:rPr>
                <w:rFonts w:ascii="Verdana Pro Cond Light" w:hAnsi="Verdana Pro Cond Light" w:cs="Arial"/>
                <w:color w:val="1E4641"/>
                <w:sz w:val="18"/>
                <w:szCs w:val="18"/>
                <w:lang w:val="en-GB"/>
              </w:rPr>
              <w:t>2</w:t>
            </w:r>
          </w:p>
        </w:tc>
      </w:tr>
      <w:tr w:rsidR="00DC4E3D" w:rsidRPr="00DC4E3D" w14:paraId="3E816920" w14:textId="77777777" w:rsidTr="003C1E8A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19692C16" w14:textId="5CA50F83" w:rsidR="00DC4E3D" w:rsidRPr="00A6156B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1E4641"/>
                <w:sz w:val="18"/>
                <w:szCs w:val="18"/>
                <w:lang w:val="en-GB" w:eastAsia="en-US"/>
              </w:rPr>
            </w:pPr>
            <w:r w:rsidRPr="00A6156B">
              <w:rPr>
                <w:rFonts w:ascii="Verdana Pro Cond Light" w:hAnsi="Verdana Pro Cond Light" w:cs="Arial"/>
                <w:color w:val="1E4641"/>
                <w:sz w:val="18"/>
                <w:szCs w:val="18"/>
                <w:lang w:val="en-GB"/>
              </w:rPr>
              <w:t>H413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CD068E" w14:textId="44AD57BB" w:rsidR="00DC4E3D" w:rsidRPr="00A6156B" w:rsidRDefault="00567D45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1E4641"/>
                <w:sz w:val="18"/>
                <w:szCs w:val="18"/>
                <w:lang w:val="en-GB" w:eastAsia="en-US"/>
              </w:rPr>
            </w:pPr>
            <w:r w:rsidRPr="00A6156B">
              <w:rPr>
                <w:rFonts w:ascii="Verdana Pro Cond Light" w:hAnsi="Verdana Pro Cond Light" w:cs="Arial"/>
                <w:color w:val="1E4641"/>
                <w:sz w:val="18"/>
                <w:szCs w:val="18"/>
                <w:lang w:val="en-GB"/>
              </w:rPr>
              <w:t>2</w:t>
            </w:r>
          </w:p>
        </w:tc>
      </w:tr>
      <w:tr w:rsidR="00DC4E3D" w:rsidRPr="00DC4E3D" w14:paraId="6F643A0F" w14:textId="77777777" w:rsidTr="003C1E8A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05AACE11" w14:textId="16A357EC" w:rsidR="00DC4E3D" w:rsidRPr="00A6156B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1E4641"/>
                <w:sz w:val="18"/>
                <w:szCs w:val="18"/>
                <w:lang w:val="en-GB" w:eastAsia="en-US"/>
              </w:rPr>
            </w:pPr>
            <w:r w:rsidRPr="00A6156B">
              <w:rPr>
                <w:rFonts w:ascii="Verdana Pro Cond Light" w:hAnsi="Verdana Pro Cond Light" w:cs="Arial"/>
                <w:color w:val="1E4641"/>
                <w:sz w:val="18"/>
                <w:szCs w:val="18"/>
                <w:lang w:val="en-GB"/>
              </w:rPr>
              <w:t>H420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B002B3" w14:textId="77777777" w:rsidR="00DC4E3D" w:rsidRPr="00A6156B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1E4641"/>
                <w:sz w:val="18"/>
                <w:szCs w:val="18"/>
                <w:lang w:val="en-GB" w:eastAsia="en-US"/>
              </w:rPr>
            </w:pPr>
            <w:r w:rsidRPr="00A6156B">
              <w:rPr>
                <w:rFonts w:ascii="Verdana Pro Cond Light" w:hAnsi="Verdana Pro Cond Light" w:cs="Arial"/>
                <w:color w:val="1E4641"/>
                <w:sz w:val="18"/>
                <w:szCs w:val="18"/>
                <w:lang w:val="en-GB"/>
              </w:rPr>
              <w:t>3</w:t>
            </w:r>
          </w:p>
        </w:tc>
      </w:tr>
      <w:tr w:rsidR="00DC4E3D" w:rsidRPr="00DC4E3D" w14:paraId="5960352A" w14:textId="77777777" w:rsidTr="003C1E8A">
        <w:trPr>
          <w:trHeight w:val="300"/>
        </w:trPr>
        <w:tc>
          <w:tcPr>
            <w:tcW w:w="1730" w:type="dxa"/>
            <w:shd w:val="clear" w:color="auto" w:fill="auto"/>
            <w:vAlign w:val="center"/>
          </w:tcPr>
          <w:p w14:paraId="169C41DB" w14:textId="4F903248" w:rsidR="00DC4E3D" w:rsidRPr="00A6156B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color w:val="1E4641"/>
                <w:sz w:val="18"/>
                <w:szCs w:val="18"/>
                <w:lang w:val="en-GB" w:eastAsia="en-US"/>
              </w:rPr>
            </w:pPr>
            <w:r w:rsidRPr="00A6156B">
              <w:rPr>
                <w:rFonts w:ascii="Verdana Pro Cond Light" w:hAnsi="Verdana Pro Cond Light"/>
                <w:color w:val="1E4641"/>
                <w:sz w:val="18"/>
                <w:szCs w:val="18"/>
                <w:lang w:val="en-GB" w:eastAsia="en-US"/>
              </w:rPr>
              <w:t>EUH059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972B2E" w14:textId="69E5DBDB" w:rsidR="00DC4E3D" w:rsidRPr="00A6156B" w:rsidRDefault="00DC4E3D" w:rsidP="00DC4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color w:val="1E4641"/>
                <w:sz w:val="18"/>
                <w:szCs w:val="18"/>
                <w:lang w:val="en-GB" w:eastAsia="en-US"/>
              </w:rPr>
            </w:pPr>
            <w:r w:rsidRPr="00A6156B">
              <w:rPr>
                <w:rFonts w:ascii="Verdana Pro Cond Light" w:hAnsi="Verdana Pro Cond Light"/>
                <w:color w:val="1E4641"/>
                <w:sz w:val="18"/>
                <w:szCs w:val="18"/>
                <w:lang w:val="en-GB" w:eastAsia="en-US"/>
                <w14:textFill>
                  <w14:solidFill>
                    <w14:srgbClr w14:val="1E4641">
                      <w14:lumMod w14:val="50000"/>
                    </w14:srgbClr>
                  </w14:solidFill>
                </w14:textFill>
              </w:rPr>
              <w:t>3</w:t>
            </w:r>
          </w:p>
        </w:tc>
      </w:tr>
    </w:tbl>
    <w:p w14:paraId="2723C86E" w14:textId="5CA33F22" w:rsidR="00DC4E3D" w:rsidRDefault="00DC4E3D" w:rsidP="003C1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 Pro Cond Light" w:hAnsi="Verdana Pro Cond Light"/>
          <w:color w:val="FFFFFF" w:themeColor="background1"/>
          <w:sz w:val="20"/>
          <w:szCs w:val="20"/>
          <w:lang w:val="en-GB" w:eastAsia="en-US"/>
        </w:rPr>
        <w:sectPr w:rsidR="00DC4E3D" w:rsidSect="00F76191">
          <w:type w:val="continuous"/>
          <w:pgSz w:w="11906" w:h="16838"/>
          <w:pgMar w:top="1843" w:right="1417" w:bottom="709" w:left="1417" w:header="568" w:footer="545" w:gutter="0"/>
          <w:cols w:num="3" w:space="708"/>
          <w:docGrid w:linePitch="360"/>
        </w:sectPr>
      </w:pPr>
    </w:p>
    <w:p w14:paraId="50EB028C" w14:textId="77777777" w:rsidR="00DE045E" w:rsidRDefault="00DE045E" w:rsidP="00DE045E">
      <w:pPr>
        <w:pStyle w:val="Overskrift2"/>
        <w:spacing w:before="960"/>
        <w:rPr>
          <w:rFonts w:ascii="Verdana Pro Cond Light" w:hAnsi="Verdana Pro Cond Light"/>
          <w:color w:val="4AAEA3"/>
          <w:sz w:val="22"/>
          <w:szCs w:val="18"/>
          <w:lang w:eastAsia="en-US"/>
        </w:rPr>
      </w:pPr>
      <w:r>
        <w:t xml:space="preserve">Appendix 3: </w:t>
      </w:r>
      <w:r w:rsidRPr="2FB203F1">
        <w:t xml:space="preserve">Criteria to </w:t>
      </w:r>
      <w:r>
        <w:t>C</w:t>
      </w:r>
      <w:r w:rsidRPr="2FB203F1">
        <w:t xml:space="preserve">lassify </w:t>
      </w:r>
      <w:r>
        <w:t>S</w:t>
      </w:r>
      <w:r w:rsidRPr="2FB203F1">
        <w:t xml:space="preserve">ubstances </w:t>
      </w:r>
      <w:r>
        <w:t>R</w:t>
      </w:r>
      <w:r w:rsidRPr="2FB203F1">
        <w:t xml:space="preserve">egarding </w:t>
      </w:r>
      <w:r>
        <w:t>D</w:t>
      </w:r>
      <w:r w:rsidRPr="2FB203F1">
        <w:t xml:space="preserve">egradability and </w:t>
      </w:r>
      <w:r>
        <w:t>R</w:t>
      </w:r>
      <w:r w:rsidRPr="2FB203F1">
        <w:t>enewability</w:t>
      </w:r>
    </w:p>
    <w:tbl>
      <w:tblPr>
        <w:tblStyle w:val="Tabellrutenett"/>
        <w:tblW w:w="0" w:type="auto"/>
        <w:tblBorders>
          <w:top w:val="single" w:sz="4" w:space="0" w:color="4AAEA3"/>
          <w:left w:val="single" w:sz="4" w:space="0" w:color="4AAEA3"/>
          <w:right w:val="single" w:sz="4" w:space="0" w:color="4AAEA3"/>
          <w:insideV w:val="single" w:sz="4" w:space="0" w:color="4AAEA3"/>
        </w:tblBorders>
        <w:tblLook w:val="04A0" w:firstRow="1" w:lastRow="0" w:firstColumn="1" w:lastColumn="0" w:noHBand="0" w:noVBand="1"/>
      </w:tblPr>
      <w:tblGrid>
        <w:gridCol w:w="1980"/>
        <w:gridCol w:w="5670"/>
        <w:gridCol w:w="1412"/>
      </w:tblGrid>
      <w:tr w:rsidR="00DE045E" w:rsidRPr="009A0DC1" w14:paraId="68FB756D" w14:textId="77777777" w:rsidTr="00DE57FE">
        <w:trPr>
          <w:trHeight w:val="454"/>
        </w:trPr>
        <w:tc>
          <w:tcPr>
            <w:tcW w:w="1980" w:type="dxa"/>
            <w:tcBorders>
              <w:top w:val="single" w:sz="4" w:space="0" w:color="4AAEA3"/>
              <w:bottom w:val="single" w:sz="4" w:space="0" w:color="4AAEA3"/>
            </w:tcBorders>
            <w:shd w:val="clear" w:color="auto" w:fill="357B73"/>
            <w:vAlign w:val="center"/>
          </w:tcPr>
          <w:p w14:paraId="62CD97B0" w14:textId="77777777" w:rsidR="00DE045E" w:rsidRPr="009A0DC1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b/>
                <w:bCs/>
                <w:color w:val="4AAEA3"/>
                <w:sz w:val="22"/>
                <w:szCs w:val="18"/>
                <w:lang w:eastAsia="en-US"/>
              </w:rPr>
            </w:pPr>
            <w:r w:rsidRPr="009A0DC1">
              <w:rPr>
                <w:rFonts w:ascii="Verdana Pro Cond Light" w:hAnsi="Verdana Pro Cond Light" w:cs="Arial"/>
                <w:b/>
                <w:bCs/>
                <w:color w:val="FFFFFF" w:themeColor="background1"/>
                <w:sz w:val="22"/>
                <w:szCs w:val="22"/>
              </w:rPr>
              <w:t>Characteristics</w:t>
            </w:r>
          </w:p>
        </w:tc>
        <w:tc>
          <w:tcPr>
            <w:tcW w:w="5670" w:type="dxa"/>
            <w:tcBorders>
              <w:top w:val="single" w:sz="4" w:space="0" w:color="4AAEA3"/>
              <w:bottom w:val="single" w:sz="4" w:space="0" w:color="4AAEA3"/>
            </w:tcBorders>
            <w:shd w:val="clear" w:color="auto" w:fill="357B73"/>
            <w:vAlign w:val="center"/>
          </w:tcPr>
          <w:p w14:paraId="04412B2F" w14:textId="77777777" w:rsidR="00DE045E" w:rsidRPr="009A0DC1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b/>
                <w:bCs/>
                <w:color w:val="4AAEA3"/>
                <w:sz w:val="22"/>
                <w:szCs w:val="18"/>
                <w:lang w:eastAsia="en-US"/>
              </w:rPr>
            </w:pPr>
            <w:r w:rsidRPr="009A0DC1">
              <w:rPr>
                <w:rFonts w:ascii="Verdana Pro Cond Light" w:hAnsi="Verdana Pro Cond Light" w:cs="Arial"/>
                <w:b/>
                <w:bCs/>
                <w:color w:val="FFFFFF" w:themeColor="background1"/>
                <w:sz w:val="22"/>
                <w:szCs w:val="22"/>
              </w:rPr>
              <w:t>Criteria</w:t>
            </w:r>
          </w:p>
        </w:tc>
        <w:tc>
          <w:tcPr>
            <w:tcW w:w="1412" w:type="dxa"/>
            <w:tcBorders>
              <w:top w:val="single" w:sz="4" w:space="0" w:color="4AAEA3"/>
              <w:bottom w:val="single" w:sz="4" w:space="0" w:color="4AAEA3"/>
            </w:tcBorders>
            <w:shd w:val="clear" w:color="auto" w:fill="357B73"/>
            <w:vAlign w:val="center"/>
          </w:tcPr>
          <w:p w14:paraId="5322614C" w14:textId="77777777" w:rsidR="00DE045E" w:rsidRPr="009A0DC1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b/>
                <w:bCs/>
                <w:color w:val="4AAEA3"/>
                <w:sz w:val="22"/>
                <w:szCs w:val="18"/>
                <w:lang w:eastAsia="en-US"/>
              </w:rPr>
            </w:pPr>
            <w:r w:rsidRPr="009A0DC1">
              <w:rPr>
                <w:rFonts w:ascii="Verdana Pro Cond Light" w:hAnsi="Verdana Pro Cond Light" w:cs="Arial"/>
                <w:b/>
                <w:bCs/>
                <w:color w:val="FFFFFF" w:themeColor="background1"/>
                <w:sz w:val="22"/>
                <w:szCs w:val="22"/>
              </w:rPr>
              <w:t>Score (S)</w:t>
            </w:r>
          </w:p>
        </w:tc>
      </w:tr>
      <w:tr w:rsidR="00DE045E" w14:paraId="17AF2DDD" w14:textId="77777777" w:rsidTr="00DE57FE">
        <w:trPr>
          <w:trHeight w:val="567"/>
        </w:trPr>
        <w:tc>
          <w:tcPr>
            <w:tcW w:w="1980" w:type="dxa"/>
            <w:vMerge w:val="restart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11D4C81E" w14:textId="77777777" w:rsidR="00DE045E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 w:rsidRPr="00C04F10">
              <w:rPr>
                <w:rFonts w:ascii="Verdana Pro Cond Light" w:hAnsi="Verdana Pro Cond Light" w:cs="Arial"/>
                <w:sz w:val="22"/>
                <w:szCs w:val="22"/>
              </w:rPr>
              <w:t>Degradability</w:t>
            </w:r>
          </w:p>
        </w:tc>
        <w:tc>
          <w:tcPr>
            <w:tcW w:w="5670" w:type="dxa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2B0DE17E" w14:textId="77777777" w:rsidR="00DE045E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 w:rsidRPr="00C04F10">
              <w:rPr>
                <w:rFonts w:ascii="Verdana Pro Cond Light" w:hAnsi="Verdana Pro Cond Light" w:cs="Arial"/>
                <w:sz w:val="22"/>
                <w:szCs w:val="22"/>
              </w:rPr>
              <w:t>Not degradable and may not be treated to render the substances degradable to innocuous products</w:t>
            </w:r>
          </w:p>
        </w:tc>
        <w:tc>
          <w:tcPr>
            <w:tcW w:w="1412" w:type="dxa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4E907A43" w14:textId="77777777" w:rsidR="00DE045E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 w:rsidRPr="00C04F10">
              <w:rPr>
                <w:rFonts w:ascii="Verdana Pro Cond Light" w:hAnsi="Verdana Pro Cond Light" w:cs="Arial"/>
                <w:sz w:val="22"/>
                <w:szCs w:val="22"/>
              </w:rPr>
              <w:t>3</w:t>
            </w:r>
          </w:p>
        </w:tc>
      </w:tr>
      <w:tr w:rsidR="00DE045E" w14:paraId="422EAA4B" w14:textId="77777777" w:rsidTr="00DE57FE">
        <w:trPr>
          <w:trHeight w:val="567"/>
        </w:trPr>
        <w:tc>
          <w:tcPr>
            <w:tcW w:w="1980" w:type="dxa"/>
            <w:vMerge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367F42BD" w14:textId="77777777" w:rsidR="00DE045E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4B302321" w14:textId="77777777" w:rsidR="00DE045E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 w:rsidRPr="00C04F10">
              <w:rPr>
                <w:rFonts w:ascii="Verdana Pro Cond Light" w:hAnsi="Verdana Pro Cond Light" w:cs="Arial"/>
                <w:sz w:val="22"/>
                <w:szCs w:val="22"/>
              </w:rPr>
              <w:t>Not degradable but may be treated to render the substances degradable to innocuous products</w:t>
            </w:r>
          </w:p>
        </w:tc>
        <w:tc>
          <w:tcPr>
            <w:tcW w:w="1412" w:type="dxa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10C073FF" w14:textId="77777777" w:rsidR="00DE045E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 w:rsidRPr="00C04F10">
              <w:rPr>
                <w:rFonts w:ascii="Verdana Pro Cond Light" w:hAnsi="Verdana Pro Cond Light" w:cs="Arial"/>
                <w:sz w:val="22"/>
                <w:szCs w:val="22"/>
              </w:rPr>
              <w:t>2</w:t>
            </w:r>
          </w:p>
        </w:tc>
      </w:tr>
      <w:tr w:rsidR="00DE045E" w14:paraId="00A903CD" w14:textId="77777777" w:rsidTr="00DE57FE">
        <w:trPr>
          <w:trHeight w:val="567"/>
        </w:trPr>
        <w:tc>
          <w:tcPr>
            <w:tcW w:w="1980" w:type="dxa"/>
            <w:vMerge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1347E2FB" w14:textId="77777777" w:rsidR="00DE045E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47DB6198" w14:textId="77777777" w:rsidR="00DE045E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 w:rsidRPr="4E83C1E4">
              <w:rPr>
                <w:rFonts w:ascii="Verdana Pro Cond Light" w:hAnsi="Verdana Pro Cond Light" w:cs="Arial"/>
                <w:sz w:val="22"/>
                <w:szCs w:val="22"/>
              </w:rPr>
              <w:t>Degradable and breakable to innocuous products</w:t>
            </w:r>
          </w:p>
        </w:tc>
        <w:tc>
          <w:tcPr>
            <w:tcW w:w="1412" w:type="dxa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463BD6B7" w14:textId="77777777" w:rsidR="00DE045E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 w:rsidRPr="4E83C1E4">
              <w:rPr>
                <w:rFonts w:ascii="Verdana Pro Cond Light" w:hAnsi="Verdana Pro Cond Light" w:cs="Arial"/>
                <w:sz w:val="22"/>
                <w:szCs w:val="22"/>
              </w:rPr>
              <w:t>1</w:t>
            </w:r>
          </w:p>
        </w:tc>
      </w:tr>
      <w:tr w:rsidR="00DE045E" w14:paraId="61A29C38" w14:textId="77777777" w:rsidTr="00DE57FE">
        <w:trPr>
          <w:trHeight w:val="567"/>
        </w:trPr>
        <w:tc>
          <w:tcPr>
            <w:tcW w:w="1980" w:type="dxa"/>
            <w:vMerge w:val="restart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6F03705D" w14:textId="77777777" w:rsidR="00DE045E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 w:rsidRPr="00C04F10">
              <w:rPr>
                <w:rFonts w:ascii="Verdana Pro Cond Light" w:hAnsi="Verdana Pro Cond Light" w:cs="Arial"/>
                <w:sz w:val="22"/>
                <w:szCs w:val="22"/>
              </w:rPr>
              <w:t>Renewability</w:t>
            </w:r>
          </w:p>
        </w:tc>
        <w:tc>
          <w:tcPr>
            <w:tcW w:w="5670" w:type="dxa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71FA9605" w14:textId="77777777" w:rsidR="00DE045E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 w:rsidRPr="00C04F10">
              <w:rPr>
                <w:rFonts w:ascii="Verdana Pro Cond Light" w:hAnsi="Verdana Pro Cond Light" w:cs="Arial"/>
                <w:sz w:val="22"/>
                <w:szCs w:val="22"/>
              </w:rPr>
              <w:t>Not renewable</w:t>
            </w:r>
          </w:p>
        </w:tc>
        <w:tc>
          <w:tcPr>
            <w:tcW w:w="1412" w:type="dxa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355A3B53" w14:textId="77777777" w:rsidR="00DE045E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 w:rsidRPr="00C04F10">
              <w:rPr>
                <w:rFonts w:ascii="Verdana Pro Cond Light" w:hAnsi="Verdana Pro Cond Light" w:cs="Arial"/>
                <w:sz w:val="22"/>
                <w:szCs w:val="22"/>
              </w:rPr>
              <w:t>3</w:t>
            </w:r>
          </w:p>
        </w:tc>
      </w:tr>
      <w:tr w:rsidR="00DE045E" w14:paraId="4C187A5F" w14:textId="77777777" w:rsidTr="00DE57FE">
        <w:trPr>
          <w:trHeight w:val="567"/>
        </w:trPr>
        <w:tc>
          <w:tcPr>
            <w:tcW w:w="1980" w:type="dxa"/>
            <w:vMerge/>
            <w:tcBorders>
              <w:top w:val="single" w:sz="4" w:space="0" w:color="4AAEA3"/>
              <w:bottom w:val="single" w:sz="4" w:space="0" w:color="4AAEA3"/>
            </w:tcBorders>
          </w:tcPr>
          <w:p w14:paraId="364FEB9B" w14:textId="77777777" w:rsidR="00DE045E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330E7C4A" w14:textId="77777777" w:rsidR="00DE045E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 w:rsidRPr="00C04F10">
              <w:rPr>
                <w:rFonts w:ascii="Verdana Pro Cond Light" w:hAnsi="Verdana Pro Cond Light" w:cs="Arial"/>
                <w:sz w:val="22"/>
                <w:szCs w:val="22"/>
              </w:rPr>
              <w:t>Renewable</w:t>
            </w:r>
          </w:p>
        </w:tc>
        <w:tc>
          <w:tcPr>
            <w:tcW w:w="1412" w:type="dxa"/>
            <w:tcBorders>
              <w:top w:val="single" w:sz="4" w:space="0" w:color="4AAEA3"/>
              <w:bottom w:val="single" w:sz="4" w:space="0" w:color="4AAEA3"/>
            </w:tcBorders>
            <w:vAlign w:val="center"/>
          </w:tcPr>
          <w:p w14:paraId="4DC2FAB3" w14:textId="77777777" w:rsidR="00DE045E" w:rsidRDefault="00DE045E" w:rsidP="00DE5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erdana Pro Cond Light" w:hAnsi="Verdana Pro Cond Light"/>
                <w:b/>
                <w:color w:val="4AAEA3"/>
                <w:sz w:val="22"/>
                <w:szCs w:val="18"/>
                <w:lang w:eastAsia="en-US"/>
              </w:rPr>
            </w:pPr>
            <w:r w:rsidRPr="00C04F10">
              <w:rPr>
                <w:rFonts w:ascii="Verdana Pro Cond Light" w:hAnsi="Verdana Pro Cond Light" w:cs="Arial"/>
                <w:sz w:val="22"/>
                <w:szCs w:val="22"/>
              </w:rPr>
              <w:t>1</w:t>
            </w:r>
          </w:p>
        </w:tc>
      </w:tr>
    </w:tbl>
    <w:p w14:paraId="5E271121" w14:textId="3C81244F" w:rsidR="00DE045E" w:rsidRPr="00DE045E" w:rsidRDefault="00DE045E" w:rsidP="00F76191">
      <w:pPr>
        <w:spacing w:before="120" w:after="120"/>
        <w:rPr>
          <w:rFonts w:ascii="Verdana Pro Cond Light" w:hAnsi="Verdana Pro Cond Light" w:cs="Calibri"/>
          <w:color w:val="ED553B"/>
          <w:sz w:val="18"/>
          <w:szCs w:val="18"/>
        </w:rPr>
        <w:sectPr w:rsidR="00DE045E" w:rsidRPr="00DE045E" w:rsidSect="00225AE2">
          <w:type w:val="continuous"/>
          <w:pgSz w:w="11906" w:h="16838"/>
          <w:pgMar w:top="1560" w:right="1417" w:bottom="1417" w:left="1417" w:header="568" w:footer="708" w:gutter="0"/>
          <w:cols w:space="708"/>
          <w:docGrid w:linePitch="360"/>
        </w:sectPr>
      </w:pPr>
    </w:p>
    <w:p w14:paraId="25D7E6DE" w14:textId="6307F53A" w:rsidR="0013183C" w:rsidRPr="00F76191" w:rsidRDefault="0013183C" w:rsidP="000965A8">
      <w:pPr>
        <w:pStyle w:val="Overskrift2"/>
        <w:rPr>
          <w:rStyle w:val="eop"/>
        </w:rPr>
      </w:pPr>
      <w:r w:rsidRPr="00F76191">
        <w:lastRenderedPageBreak/>
        <w:t xml:space="preserve">APPENDIX </w:t>
      </w:r>
      <w:r w:rsidR="0C4E8C6B" w:rsidRPr="00F76191">
        <w:t>4</w:t>
      </w:r>
      <w:r w:rsidR="00225AE2" w:rsidRPr="00F76191">
        <w:t>:</w:t>
      </w:r>
      <w:r w:rsidR="30809251" w:rsidRPr="00F76191">
        <w:t xml:space="preserve"> </w:t>
      </w:r>
      <w:r w:rsidR="22FCADC7" w:rsidRPr="00F76191">
        <w:t xml:space="preserve">Green Chemistry Principles </w:t>
      </w:r>
      <w:r w:rsidR="0B8D18DD" w:rsidRPr="00F76191">
        <w:t>a</w:t>
      </w:r>
      <w:r w:rsidR="22FCADC7" w:rsidRPr="00F76191">
        <w:t xml:space="preserve">nd Assessment </w:t>
      </w:r>
      <w:r w:rsidR="204CB198" w:rsidRPr="00F76191">
        <w:t xml:space="preserve">Criteria </w:t>
      </w:r>
      <w:r w:rsidR="5B67672F" w:rsidRPr="00F76191">
        <w:t>f</w:t>
      </w:r>
      <w:r w:rsidR="204CB198" w:rsidRPr="00F76191">
        <w:t>or</w:t>
      </w:r>
      <w:r w:rsidR="22FCADC7" w:rsidRPr="00F76191">
        <w:t xml:space="preserve"> Value </w:t>
      </w:r>
      <w:r w:rsidR="1D5E906D" w:rsidRPr="00F76191">
        <w:t>o</w:t>
      </w:r>
      <w:r w:rsidR="22FCADC7" w:rsidRPr="00F76191">
        <w:t>f Perceived Greenness</w:t>
      </w:r>
    </w:p>
    <w:p w14:paraId="410FB82B" w14:textId="64F9C980" w:rsidR="00C04723" w:rsidRPr="00225AE2" w:rsidRDefault="68AE0736" w:rsidP="00DE045E">
      <w:pPr>
        <w:spacing w:after="120"/>
        <w:rPr>
          <w:rFonts w:cstheme="majorBidi"/>
          <w:color w:val="525252" w:themeColor="accent3" w:themeShade="80"/>
          <w:sz w:val="22"/>
          <w:szCs w:val="22"/>
        </w:rPr>
      </w:pPr>
      <w:r w:rsidRPr="00225AE2">
        <w:t xml:space="preserve">The value of perceived greenness (V) </w:t>
      </w:r>
      <w:r w:rsidR="1EC88BA3" w:rsidRPr="00225AE2">
        <w:t xml:space="preserve">ranges from </w:t>
      </w:r>
      <w:r w:rsidRPr="00225AE2">
        <w:t>1 (</w:t>
      </w:r>
      <w:r w:rsidR="332D1E64" w:rsidRPr="00225AE2">
        <w:t xml:space="preserve">lowest level of </w:t>
      </w:r>
      <w:r w:rsidRPr="00225AE2">
        <w:t>perceived greenness) to 3 (</w:t>
      </w:r>
      <w:r w:rsidR="1F3B0DF2" w:rsidRPr="00225AE2">
        <w:t xml:space="preserve">highest level </w:t>
      </w:r>
      <w:r w:rsidRPr="00225AE2">
        <w:t>of perceived greenness)</w:t>
      </w:r>
      <w:r w:rsidR="2FF2B6A5" w:rsidRPr="00225AE2">
        <w:t>.</w:t>
      </w:r>
    </w:p>
    <w:tbl>
      <w:tblPr>
        <w:tblStyle w:val="Tabellrutenett"/>
        <w:tblW w:w="9526" w:type="dxa"/>
        <w:tblInd w:w="108" w:type="dxa"/>
        <w:tblBorders>
          <w:top w:val="single" w:sz="4" w:space="0" w:color="4AAEA3"/>
          <w:left w:val="single" w:sz="4" w:space="0" w:color="4AAEA3"/>
          <w:bottom w:val="single" w:sz="4" w:space="0" w:color="4AAEA3"/>
          <w:right w:val="single" w:sz="4" w:space="0" w:color="4AAEA3"/>
          <w:insideH w:val="single" w:sz="4" w:space="0" w:color="4AAEA3"/>
          <w:insideV w:val="single" w:sz="4" w:space="0" w:color="4AAEA3"/>
        </w:tblBorders>
        <w:tblLook w:val="04A0" w:firstRow="1" w:lastRow="0" w:firstColumn="1" w:lastColumn="0" w:noHBand="0" w:noVBand="1"/>
      </w:tblPr>
      <w:tblGrid>
        <w:gridCol w:w="3705"/>
        <w:gridCol w:w="326"/>
        <w:gridCol w:w="5495"/>
      </w:tblGrid>
      <w:tr w:rsidR="000965A8" w:rsidRPr="00DE045E" w14:paraId="2F1FC16C" w14:textId="77777777" w:rsidTr="00DE045E">
        <w:trPr>
          <w:trHeight w:val="402"/>
          <w:tblHeader/>
        </w:trPr>
        <w:tc>
          <w:tcPr>
            <w:tcW w:w="3705" w:type="dxa"/>
            <w:shd w:val="clear" w:color="auto" w:fill="357B73"/>
            <w:vAlign w:val="center"/>
          </w:tcPr>
          <w:p w14:paraId="13191108" w14:textId="44029A09" w:rsidR="000965A8" w:rsidRPr="00DE045E" w:rsidRDefault="000965A8" w:rsidP="00225AE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</w:rPr>
              <w:t>Descriptions</w:t>
            </w:r>
          </w:p>
        </w:tc>
        <w:tc>
          <w:tcPr>
            <w:tcW w:w="5821" w:type="dxa"/>
            <w:gridSpan w:val="2"/>
            <w:shd w:val="clear" w:color="auto" w:fill="357B73"/>
            <w:vAlign w:val="center"/>
          </w:tcPr>
          <w:p w14:paraId="43AF175A" w14:textId="43BC0702" w:rsidR="000965A8" w:rsidRPr="00DE045E" w:rsidRDefault="000965A8" w:rsidP="00225AE2">
            <w:pPr>
              <w:pStyle w:val="paragraph"/>
              <w:spacing w:before="0" w:beforeAutospacing="0" w:after="0" w:afterAutospacing="0"/>
              <w:ind w:left="-103"/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b/>
                <w:bCs/>
                <w:color w:val="FFFFFF" w:themeColor="background1"/>
                <w:sz w:val="22"/>
                <w:szCs w:val="22"/>
              </w:rPr>
              <w:t>Assessment criteria for the value of perceived greenness (V)</w:t>
            </w:r>
          </w:p>
        </w:tc>
      </w:tr>
      <w:tr w:rsidR="009A0DC1" w:rsidRPr="00DE045E" w14:paraId="1B27BEE5" w14:textId="77777777" w:rsidTr="00DE045E">
        <w:trPr>
          <w:trHeight w:val="298"/>
        </w:trPr>
        <w:tc>
          <w:tcPr>
            <w:tcW w:w="3705" w:type="dxa"/>
            <w:vMerge w:val="restart"/>
            <w:vAlign w:val="center"/>
          </w:tcPr>
          <w:p w14:paraId="704C0B06" w14:textId="77777777" w:rsidR="009A0DC1" w:rsidRPr="00DE045E" w:rsidRDefault="009A0DC1" w:rsidP="00225AE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>P1 – prevention</w:t>
            </w:r>
          </w:p>
          <w:p w14:paraId="304FC743" w14:textId="77777777" w:rsidR="009A0DC1" w:rsidRPr="00DE045E" w:rsidRDefault="009A0DC1" w:rsidP="00225AE2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It is better to prevent waste than to treat or clean up waste after it has been created.</w:t>
            </w:r>
          </w:p>
        </w:tc>
        <w:tc>
          <w:tcPr>
            <w:tcW w:w="326" w:type="dxa"/>
            <w:vAlign w:val="center"/>
          </w:tcPr>
          <w:p w14:paraId="7F9C2655" w14:textId="77777777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3</w:t>
            </w:r>
          </w:p>
        </w:tc>
        <w:tc>
          <w:tcPr>
            <w:tcW w:w="5495" w:type="dxa"/>
          </w:tcPr>
          <w:p w14:paraId="247798A5" w14:textId="6243BABA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Waste is innocuous (S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1, </w:t>
            </w:r>
            <w:r w:rsidR="001A32B0" w:rsidRPr="00DE045E">
              <w:rPr>
                <w:rFonts w:ascii="Verdana Pro Cond Light" w:hAnsi="Verdana Pro Cond Light"/>
                <w:sz w:val="22"/>
                <w:szCs w:val="22"/>
              </w:rPr>
              <w:t>appendix 2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)</w:t>
            </w:r>
          </w:p>
        </w:tc>
      </w:tr>
      <w:tr w:rsidR="009A0DC1" w:rsidRPr="00DE045E" w14:paraId="77BE7182" w14:textId="77777777" w:rsidTr="00DE045E">
        <w:trPr>
          <w:trHeight w:val="297"/>
        </w:trPr>
        <w:tc>
          <w:tcPr>
            <w:tcW w:w="3705" w:type="dxa"/>
            <w:vMerge/>
          </w:tcPr>
          <w:p w14:paraId="5ED31F92" w14:textId="77777777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646F0FB6" w14:textId="77777777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2</w:t>
            </w:r>
          </w:p>
        </w:tc>
        <w:tc>
          <w:tcPr>
            <w:tcW w:w="5495" w:type="dxa"/>
          </w:tcPr>
          <w:p w14:paraId="13BA93A2" w14:textId="730A9F3C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Waste involves a moderate hazard to human health and environment (S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2, </w:t>
            </w:r>
            <w:r w:rsidR="001A32B0" w:rsidRPr="00DE045E">
              <w:rPr>
                <w:rFonts w:ascii="Verdana Pro Cond Light" w:hAnsi="Verdana Pro Cond Light"/>
                <w:sz w:val="22"/>
                <w:szCs w:val="22"/>
              </w:rPr>
              <w:t>appendix 2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, for at least one substance, no substances with 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3)</w:t>
            </w:r>
          </w:p>
        </w:tc>
      </w:tr>
      <w:tr w:rsidR="009A0DC1" w:rsidRPr="00DE045E" w14:paraId="24AD1BC3" w14:textId="77777777" w:rsidTr="00DE045E">
        <w:trPr>
          <w:trHeight w:val="297"/>
        </w:trPr>
        <w:tc>
          <w:tcPr>
            <w:tcW w:w="3705" w:type="dxa"/>
            <w:vMerge/>
          </w:tcPr>
          <w:p w14:paraId="60158940" w14:textId="77777777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353F545C" w14:textId="77777777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1</w:t>
            </w:r>
          </w:p>
        </w:tc>
        <w:tc>
          <w:tcPr>
            <w:tcW w:w="5495" w:type="dxa"/>
          </w:tcPr>
          <w:p w14:paraId="59942DC7" w14:textId="7FCBA216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Waste involves a high hazard to human health and environment (S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3, </w:t>
            </w:r>
            <w:r w:rsidR="001A32B0" w:rsidRPr="00DE045E">
              <w:rPr>
                <w:rFonts w:ascii="Verdana Pro Cond Light" w:hAnsi="Verdana Pro Cond Light"/>
                <w:sz w:val="22"/>
                <w:szCs w:val="22"/>
              </w:rPr>
              <w:t>appendix 2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, for at least one substance)</w:t>
            </w:r>
          </w:p>
        </w:tc>
      </w:tr>
      <w:tr w:rsidR="009A0DC1" w:rsidRPr="00DE045E" w14:paraId="709D827F" w14:textId="77777777" w:rsidTr="00DE045E">
        <w:trPr>
          <w:trHeight w:val="456"/>
        </w:trPr>
        <w:tc>
          <w:tcPr>
            <w:tcW w:w="3705" w:type="dxa"/>
            <w:vMerge w:val="restart"/>
          </w:tcPr>
          <w:p w14:paraId="63A132C0" w14:textId="24B37411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 xml:space="preserve">P2 </w:t>
            </w:r>
            <w:r w:rsidR="00F76191"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>–</w:t>
            </w: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 xml:space="preserve"> atom economy</w:t>
            </w:r>
          </w:p>
          <w:p w14:paraId="200ED3F8" w14:textId="3A24E2B1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Synthetic methods should be designed to maximize the incorporation of all materials used in the process into the final product.</w:t>
            </w:r>
          </w:p>
        </w:tc>
        <w:tc>
          <w:tcPr>
            <w:tcW w:w="326" w:type="dxa"/>
            <w:vAlign w:val="center"/>
          </w:tcPr>
          <w:p w14:paraId="58BC02A5" w14:textId="49CEDFD2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3</w:t>
            </w:r>
          </w:p>
        </w:tc>
        <w:tc>
          <w:tcPr>
            <w:tcW w:w="5495" w:type="dxa"/>
            <w:vAlign w:val="center"/>
          </w:tcPr>
          <w:p w14:paraId="73E6998C" w14:textId="212BCE4D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Reactions without excess of reagents (≤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10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%) and without formation of by-products</w:t>
            </w:r>
          </w:p>
        </w:tc>
      </w:tr>
      <w:tr w:rsidR="009A0DC1" w:rsidRPr="00DE045E" w14:paraId="5CBCA6AA" w14:textId="77777777" w:rsidTr="00DE045E">
        <w:trPr>
          <w:trHeight w:val="454"/>
        </w:trPr>
        <w:tc>
          <w:tcPr>
            <w:tcW w:w="3705" w:type="dxa"/>
            <w:vMerge/>
          </w:tcPr>
          <w:p w14:paraId="0E0B5CB2" w14:textId="77777777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1EB5DDAC" w14:textId="1CF1355C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2</w:t>
            </w:r>
          </w:p>
        </w:tc>
        <w:tc>
          <w:tcPr>
            <w:tcW w:w="5495" w:type="dxa"/>
            <w:vAlign w:val="center"/>
          </w:tcPr>
          <w:p w14:paraId="64EFC099" w14:textId="2482B26A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Reactions without excess of reagents (≤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10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%) and with formation of by-products</w:t>
            </w:r>
          </w:p>
        </w:tc>
      </w:tr>
      <w:tr w:rsidR="009A0DC1" w:rsidRPr="00DE045E" w14:paraId="7CFAE542" w14:textId="77777777" w:rsidTr="00DE045E">
        <w:trPr>
          <w:trHeight w:val="383"/>
        </w:trPr>
        <w:tc>
          <w:tcPr>
            <w:tcW w:w="3705" w:type="dxa"/>
            <w:vMerge/>
          </w:tcPr>
          <w:p w14:paraId="4C52B5FA" w14:textId="77777777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4A10489F" w14:textId="27B975D2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2</w:t>
            </w:r>
          </w:p>
        </w:tc>
        <w:tc>
          <w:tcPr>
            <w:tcW w:w="5495" w:type="dxa"/>
            <w:vAlign w:val="center"/>
          </w:tcPr>
          <w:p w14:paraId="1C1C1914" w14:textId="2CF34798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Reactions with excess of reagents (&gt;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10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%) and without formation of by-products</w:t>
            </w:r>
          </w:p>
        </w:tc>
      </w:tr>
      <w:tr w:rsidR="009A0DC1" w:rsidRPr="00DE045E" w14:paraId="56A6D67A" w14:textId="77777777" w:rsidTr="00DE045E">
        <w:trPr>
          <w:trHeight w:val="382"/>
        </w:trPr>
        <w:tc>
          <w:tcPr>
            <w:tcW w:w="3705" w:type="dxa"/>
            <w:vMerge/>
          </w:tcPr>
          <w:p w14:paraId="47FDC9A2" w14:textId="77777777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67DB2E14" w14:textId="10E9D262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1</w:t>
            </w:r>
          </w:p>
        </w:tc>
        <w:tc>
          <w:tcPr>
            <w:tcW w:w="5495" w:type="dxa"/>
            <w:vAlign w:val="center"/>
          </w:tcPr>
          <w:p w14:paraId="6E2D3067" w14:textId="1E0427C4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Reactions with excess of reagents (&gt;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10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%) and with formation of by-products</w:t>
            </w:r>
          </w:p>
        </w:tc>
      </w:tr>
      <w:tr w:rsidR="009A0DC1" w:rsidRPr="00DE045E" w14:paraId="26988ADE" w14:textId="77777777" w:rsidTr="00DE045E">
        <w:trPr>
          <w:trHeight w:val="70"/>
        </w:trPr>
        <w:tc>
          <w:tcPr>
            <w:tcW w:w="3705" w:type="dxa"/>
            <w:vMerge w:val="restart"/>
          </w:tcPr>
          <w:p w14:paraId="2D2D9909" w14:textId="375A3D36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 xml:space="preserve">P3 </w:t>
            </w:r>
            <w:r w:rsidR="00F76191"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>–</w:t>
            </w: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 xml:space="preserve"> less hazardous</w:t>
            </w: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br/>
              <w:t>chemical synthesis</w:t>
            </w:r>
          </w:p>
          <w:p w14:paraId="65A43F0A" w14:textId="4954AAA9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Wherever practicable, synthetic methods should be designed to use and generate substances that possess little or no toxicity to human health and the environment.</w:t>
            </w:r>
          </w:p>
        </w:tc>
        <w:tc>
          <w:tcPr>
            <w:tcW w:w="326" w:type="dxa"/>
            <w:vAlign w:val="center"/>
          </w:tcPr>
          <w:p w14:paraId="7B19992C" w14:textId="0EE7E143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3</w:t>
            </w:r>
          </w:p>
        </w:tc>
        <w:tc>
          <w:tcPr>
            <w:tcW w:w="5495" w:type="dxa"/>
            <w:vAlign w:val="center"/>
          </w:tcPr>
          <w:p w14:paraId="69135B0A" w14:textId="68D5061D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All substances involved are innocuous (S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1, </w:t>
            </w:r>
            <w:r w:rsidR="001A32B0" w:rsidRPr="00DE045E">
              <w:rPr>
                <w:rFonts w:ascii="Verdana Pro Cond Light" w:hAnsi="Verdana Pro Cond Light"/>
                <w:sz w:val="22"/>
                <w:szCs w:val="22"/>
              </w:rPr>
              <w:t>appendix 2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)</w:t>
            </w:r>
          </w:p>
        </w:tc>
      </w:tr>
      <w:tr w:rsidR="009A0DC1" w:rsidRPr="00DE045E" w14:paraId="7B6B176F" w14:textId="77777777" w:rsidTr="00DE045E">
        <w:trPr>
          <w:trHeight w:val="569"/>
        </w:trPr>
        <w:tc>
          <w:tcPr>
            <w:tcW w:w="3705" w:type="dxa"/>
            <w:vMerge/>
          </w:tcPr>
          <w:p w14:paraId="27BCD105" w14:textId="77777777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07F48136" w14:textId="44F6355E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2</w:t>
            </w:r>
          </w:p>
        </w:tc>
        <w:tc>
          <w:tcPr>
            <w:tcW w:w="5495" w:type="dxa"/>
            <w:vAlign w:val="center"/>
          </w:tcPr>
          <w:p w14:paraId="11AB8071" w14:textId="0EC919C8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Substances involved with moderate hazard to human health and environment (S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2, </w:t>
            </w:r>
            <w:r w:rsidR="001A32B0" w:rsidRPr="00DE045E">
              <w:rPr>
                <w:rFonts w:ascii="Verdana Pro Cond Light" w:hAnsi="Verdana Pro Cond Light"/>
                <w:sz w:val="22"/>
                <w:szCs w:val="22"/>
              </w:rPr>
              <w:t>appendix 2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, for at least one substance, no substances with 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3)</w:t>
            </w:r>
          </w:p>
        </w:tc>
      </w:tr>
      <w:tr w:rsidR="009A0DC1" w:rsidRPr="00DE045E" w14:paraId="536AC1F8" w14:textId="77777777" w:rsidTr="00DE045E">
        <w:trPr>
          <w:trHeight w:val="569"/>
        </w:trPr>
        <w:tc>
          <w:tcPr>
            <w:tcW w:w="3705" w:type="dxa"/>
            <w:vMerge/>
          </w:tcPr>
          <w:p w14:paraId="566EF9DB" w14:textId="77777777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17E52F3E" w14:textId="346A4212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1</w:t>
            </w:r>
          </w:p>
        </w:tc>
        <w:tc>
          <w:tcPr>
            <w:tcW w:w="5495" w:type="dxa"/>
            <w:vAlign w:val="center"/>
          </w:tcPr>
          <w:p w14:paraId="7A741C33" w14:textId="0806F774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Substances involved with high hazard to human health and environment (S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3, </w:t>
            </w:r>
            <w:r w:rsidR="001A32B0" w:rsidRPr="00DE045E">
              <w:rPr>
                <w:rFonts w:ascii="Verdana Pro Cond Light" w:hAnsi="Verdana Pro Cond Light"/>
                <w:sz w:val="22"/>
                <w:szCs w:val="22"/>
              </w:rPr>
              <w:t>appendix 2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, for at least one substance)</w:t>
            </w:r>
          </w:p>
        </w:tc>
      </w:tr>
      <w:tr w:rsidR="009A0DC1" w:rsidRPr="00DE045E" w14:paraId="7ACC6ED9" w14:textId="77777777" w:rsidTr="00DE045E">
        <w:tc>
          <w:tcPr>
            <w:tcW w:w="9526" w:type="dxa"/>
            <w:gridSpan w:val="3"/>
            <w:shd w:val="clear" w:color="auto" w:fill="EDEDED" w:themeFill="accent3" w:themeFillTint="33"/>
          </w:tcPr>
          <w:p w14:paraId="2422BE02" w14:textId="1A576E7F" w:rsidR="009A0DC1" w:rsidRPr="00DE045E" w:rsidRDefault="009A0DC1" w:rsidP="00F7619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 xml:space="preserve">P4 </w:t>
            </w:r>
            <w:r w:rsidR="008B6D65"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>–</w:t>
            </w: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 xml:space="preserve"> designing safer </w:t>
            </w:r>
            <w:proofErr w:type="gramStart"/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>chemicals</w:t>
            </w:r>
            <w:proofErr w:type="gramEnd"/>
          </w:p>
          <w:p w14:paraId="5A549B08" w14:textId="5149F011" w:rsidR="009A0DC1" w:rsidRPr="00DE045E" w:rsidRDefault="009A0DC1" w:rsidP="00F7619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Chemical products should be designed to affect their desired function while minimizing their toxicity.</w:t>
            </w:r>
          </w:p>
        </w:tc>
      </w:tr>
      <w:tr w:rsidR="009A0DC1" w:rsidRPr="00DE045E" w14:paraId="3F4C01E8" w14:textId="77777777" w:rsidTr="00DE045E">
        <w:trPr>
          <w:trHeight w:val="511"/>
        </w:trPr>
        <w:tc>
          <w:tcPr>
            <w:tcW w:w="3705" w:type="dxa"/>
            <w:vMerge w:val="restart"/>
          </w:tcPr>
          <w:p w14:paraId="560AA124" w14:textId="0F103965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 xml:space="preserve">P5 </w:t>
            </w:r>
            <w:r w:rsidR="00F76191"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>–</w:t>
            </w: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 xml:space="preserve"> safer solvents and auxiliary substances</w:t>
            </w:r>
          </w:p>
          <w:p w14:paraId="663A1F21" w14:textId="7ECC3A41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The use of auxiliary substances (e.g., solvents, separation agents, etc.) should be made unnecessary wherever possible and innocuous when used.</w:t>
            </w:r>
          </w:p>
          <w:p w14:paraId="0FC57F15" w14:textId="43D4B612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58BB3B65" w14:textId="4F91CE49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3</w:t>
            </w:r>
          </w:p>
        </w:tc>
        <w:tc>
          <w:tcPr>
            <w:tcW w:w="5495" w:type="dxa"/>
            <w:vAlign w:val="center"/>
          </w:tcPr>
          <w:p w14:paraId="26A91309" w14:textId="24E3C784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Solvents and auxiliary substances are not used, but if used are innocuous (S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1, </w:t>
            </w:r>
            <w:r w:rsidR="001A32B0" w:rsidRPr="00DE045E">
              <w:rPr>
                <w:rFonts w:ascii="Verdana Pro Cond Light" w:hAnsi="Verdana Pro Cond Light"/>
                <w:sz w:val="22"/>
                <w:szCs w:val="22"/>
              </w:rPr>
              <w:t>appendix 2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)</w:t>
            </w:r>
          </w:p>
        </w:tc>
      </w:tr>
      <w:tr w:rsidR="009A0DC1" w:rsidRPr="00DE045E" w14:paraId="60959E04" w14:textId="77777777" w:rsidTr="00DE045E">
        <w:trPr>
          <w:trHeight w:val="509"/>
        </w:trPr>
        <w:tc>
          <w:tcPr>
            <w:tcW w:w="3705" w:type="dxa"/>
            <w:vMerge/>
          </w:tcPr>
          <w:p w14:paraId="3D09E4D1" w14:textId="77777777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0002C3DF" w14:textId="5E6954DC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2</w:t>
            </w:r>
          </w:p>
        </w:tc>
        <w:tc>
          <w:tcPr>
            <w:tcW w:w="5495" w:type="dxa"/>
            <w:vAlign w:val="center"/>
          </w:tcPr>
          <w:p w14:paraId="3F9C0C6E" w14:textId="639A885D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Solvents or/and auxiliary substances are used with moderate hazard to human health and environment (S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2, </w:t>
            </w:r>
            <w:r w:rsidR="001A32B0" w:rsidRPr="00DE045E">
              <w:rPr>
                <w:rFonts w:ascii="Verdana Pro Cond Light" w:hAnsi="Verdana Pro Cond Light"/>
                <w:sz w:val="22"/>
                <w:szCs w:val="22"/>
              </w:rPr>
              <w:t>appendix 2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, for at least one substance, no substances with 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3)</w:t>
            </w:r>
          </w:p>
        </w:tc>
      </w:tr>
      <w:tr w:rsidR="009A0DC1" w:rsidRPr="00DE045E" w14:paraId="6D462712" w14:textId="77777777" w:rsidTr="00DE045E">
        <w:trPr>
          <w:trHeight w:val="642"/>
        </w:trPr>
        <w:tc>
          <w:tcPr>
            <w:tcW w:w="3705" w:type="dxa"/>
            <w:vMerge/>
          </w:tcPr>
          <w:p w14:paraId="66DBF949" w14:textId="77777777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68CA72F5" w14:textId="09E9722A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1</w:t>
            </w:r>
          </w:p>
        </w:tc>
        <w:tc>
          <w:tcPr>
            <w:tcW w:w="5495" w:type="dxa"/>
            <w:vAlign w:val="center"/>
          </w:tcPr>
          <w:p w14:paraId="1FF74CB3" w14:textId="3058B9F6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Solvents or/and auxiliary substances are used with high hazard to human health and environment (S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3, </w:t>
            </w:r>
            <w:r w:rsidR="001A32B0" w:rsidRPr="00DE045E">
              <w:rPr>
                <w:rFonts w:ascii="Verdana Pro Cond Light" w:hAnsi="Verdana Pro Cond Light"/>
                <w:sz w:val="22"/>
                <w:szCs w:val="22"/>
              </w:rPr>
              <w:t>appendix 2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, for at least one substance)</w:t>
            </w:r>
          </w:p>
        </w:tc>
      </w:tr>
      <w:tr w:rsidR="009A0DC1" w:rsidRPr="00DE045E" w14:paraId="32DA6CA8" w14:textId="77777777" w:rsidTr="00DE045E">
        <w:trPr>
          <w:trHeight w:val="408"/>
        </w:trPr>
        <w:tc>
          <w:tcPr>
            <w:tcW w:w="3705" w:type="dxa"/>
            <w:vMerge w:val="restart"/>
          </w:tcPr>
          <w:p w14:paraId="56890A3B" w14:textId="516CDA22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 xml:space="preserve">P6 </w:t>
            </w:r>
            <w:r w:rsidR="00F76191"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>–</w:t>
            </w: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 xml:space="preserve"> increase energy</w:t>
            </w: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br/>
            </w:r>
            <w:proofErr w:type="gramStart"/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>efficiency</w:t>
            </w:r>
            <w:proofErr w:type="gramEnd"/>
          </w:p>
          <w:p w14:paraId="61F1FF9D" w14:textId="625A5C69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Energy requirements of chemical processes should be recognized for their environmental and economic impacts should be minimized. If possible, synthetic methods should be conducted at ambient temperature and pressure.</w:t>
            </w:r>
          </w:p>
        </w:tc>
        <w:tc>
          <w:tcPr>
            <w:tcW w:w="326" w:type="dxa"/>
            <w:vAlign w:val="center"/>
          </w:tcPr>
          <w:p w14:paraId="79E2B1F7" w14:textId="7C81627E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3</w:t>
            </w:r>
          </w:p>
        </w:tc>
        <w:tc>
          <w:tcPr>
            <w:tcW w:w="5495" w:type="dxa"/>
            <w:vAlign w:val="center"/>
          </w:tcPr>
          <w:p w14:paraId="1BE81E2D" w14:textId="58A9980C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Room temperature and pressure</w:t>
            </w:r>
          </w:p>
        </w:tc>
      </w:tr>
      <w:tr w:rsidR="009A0DC1" w:rsidRPr="00DE045E" w14:paraId="73137C5B" w14:textId="77777777" w:rsidTr="00DE045E">
        <w:trPr>
          <w:trHeight w:val="739"/>
        </w:trPr>
        <w:tc>
          <w:tcPr>
            <w:tcW w:w="3705" w:type="dxa"/>
            <w:vMerge/>
          </w:tcPr>
          <w:p w14:paraId="13ABEE34" w14:textId="77777777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1A1BEB45" w14:textId="26E8594D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2</w:t>
            </w:r>
          </w:p>
        </w:tc>
        <w:tc>
          <w:tcPr>
            <w:tcW w:w="5495" w:type="dxa"/>
            <w:vAlign w:val="center"/>
          </w:tcPr>
          <w:p w14:paraId="45DE0FDD" w14:textId="6E523496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Room pressure and temperature between 0 and 100 ºC when cooling or heating is needed</w:t>
            </w:r>
          </w:p>
        </w:tc>
      </w:tr>
      <w:tr w:rsidR="009A0DC1" w:rsidRPr="00DE045E" w14:paraId="032F61DE" w14:textId="77777777" w:rsidTr="00DE045E">
        <w:trPr>
          <w:trHeight w:val="739"/>
        </w:trPr>
        <w:tc>
          <w:tcPr>
            <w:tcW w:w="3705" w:type="dxa"/>
            <w:vMerge/>
          </w:tcPr>
          <w:p w14:paraId="4D969E8D" w14:textId="77777777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78182A38" w14:textId="3AB6B18B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1</w:t>
            </w:r>
          </w:p>
        </w:tc>
        <w:tc>
          <w:tcPr>
            <w:tcW w:w="5495" w:type="dxa"/>
            <w:vAlign w:val="center"/>
          </w:tcPr>
          <w:p w14:paraId="264D6BDA" w14:textId="62B83F86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Pressure different from room pressure and/or temperature &gt; 100 ºC or less than 0 ºC</w:t>
            </w:r>
          </w:p>
        </w:tc>
      </w:tr>
      <w:tr w:rsidR="009A0DC1" w:rsidRPr="00DE045E" w14:paraId="44D5E317" w14:textId="77777777" w:rsidTr="00DE045E">
        <w:trPr>
          <w:trHeight w:val="511"/>
        </w:trPr>
        <w:tc>
          <w:tcPr>
            <w:tcW w:w="3705" w:type="dxa"/>
            <w:vMerge w:val="restart"/>
          </w:tcPr>
          <w:p w14:paraId="698404C4" w14:textId="6ADFA120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 xml:space="preserve">P7 </w:t>
            </w:r>
            <w:r w:rsidR="00F76191"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>–</w:t>
            </w: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 xml:space="preserve"> use renewable</w:t>
            </w: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br/>
            </w:r>
            <w:proofErr w:type="gramStart"/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>feedstocks</w:t>
            </w:r>
            <w:proofErr w:type="gramEnd"/>
          </w:p>
          <w:p w14:paraId="00872760" w14:textId="08B7B6C9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lastRenderedPageBreak/>
              <w:t>A raw material or feedstock should be renewable rather than depleting whenever technically and economically practicable.</w:t>
            </w:r>
          </w:p>
        </w:tc>
        <w:tc>
          <w:tcPr>
            <w:tcW w:w="326" w:type="dxa"/>
            <w:vAlign w:val="center"/>
          </w:tcPr>
          <w:p w14:paraId="5C038876" w14:textId="44059541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lastRenderedPageBreak/>
              <w:t>3</w:t>
            </w:r>
          </w:p>
        </w:tc>
        <w:tc>
          <w:tcPr>
            <w:tcW w:w="5495" w:type="dxa"/>
            <w:vAlign w:val="center"/>
          </w:tcPr>
          <w:p w14:paraId="5BFE4625" w14:textId="1D521549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All raw materials/feedstocks are renewable (S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1, </w:t>
            </w:r>
            <w:r w:rsidR="001A32B0" w:rsidRPr="00DE045E">
              <w:rPr>
                <w:rFonts w:ascii="Verdana Pro Cond Light" w:hAnsi="Verdana Pro Cond Light"/>
                <w:sz w:val="22"/>
                <w:szCs w:val="22"/>
              </w:rPr>
              <w:t>appendix 3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)</w:t>
            </w:r>
          </w:p>
        </w:tc>
      </w:tr>
      <w:tr w:rsidR="009A0DC1" w:rsidRPr="00DE045E" w14:paraId="7492C204" w14:textId="77777777" w:rsidTr="00DE045E">
        <w:trPr>
          <w:trHeight w:val="509"/>
        </w:trPr>
        <w:tc>
          <w:tcPr>
            <w:tcW w:w="3705" w:type="dxa"/>
            <w:vMerge/>
          </w:tcPr>
          <w:p w14:paraId="35DF8903" w14:textId="77777777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7D61ACD7" w14:textId="0FDEC46A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2</w:t>
            </w:r>
          </w:p>
        </w:tc>
        <w:tc>
          <w:tcPr>
            <w:tcW w:w="5495" w:type="dxa"/>
            <w:vAlign w:val="center"/>
          </w:tcPr>
          <w:p w14:paraId="5B98160C" w14:textId="3F6776E1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At least one raw material/feedstock is renewable, water is not considered (S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1, </w:t>
            </w:r>
            <w:r w:rsidR="001A32B0" w:rsidRPr="00DE045E">
              <w:rPr>
                <w:rFonts w:ascii="Verdana Pro Cond Light" w:hAnsi="Verdana Pro Cond Light"/>
                <w:sz w:val="22"/>
                <w:szCs w:val="22"/>
              </w:rPr>
              <w:t>appendix 3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)</w:t>
            </w:r>
          </w:p>
        </w:tc>
      </w:tr>
      <w:tr w:rsidR="009A0DC1" w:rsidRPr="00DE045E" w14:paraId="07FFF94D" w14:textId="77777777" w:rsidTr="00DE045E">
        <w:trPr>
          <w:trHeight w:val="509"/>
        </w:trPr>
        <w:tc>
          <w:tcPr>
            <w:tcW w:w="3705" w:type="dxa"/>
            <w:vMerge/>
          </w:tcPr>
          <w:p w14:paraId="3D2A16BA" w14:textId="77777777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7E83DBD4" w14:textId="7021C197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1</w:t>
            </w:r>
          </w:p>
        </w:tc>
        <w:tc>
          <w:tcPr>
            <w:tcW w:w="5495" w:type="dxa"/>
            <w:vAlign w:val="center"/>
          </w:tcPr>
          <w:p w14:paraId="12B6C067" w14:textId="15EAF51A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None of the raw materials/feedstocks are renewable, water is not considered 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3, </w:t>
            </w:r>
            <w:r w:rsidR="001A32B0" w:rsidRPr="00DE045E">
              <w:rPr>
                <w:rFonts w:ascii="Verdana Pro Cond Light" w:hAnsi="Verdana Pro Cond Light"/>
                <w:sz w:val="22"/>
                <w:szCs w:val="22"/>
              </w:rPr>
              <w:t>appendix 3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)</w:t>
            </w:r>
          </w:p>
        </w:tc>
      </w:tr>
      <w:tr w:rsidR="009A0DC1" w:rsidRPr="00DE045E" w14:paraId="5FBE000F" w14:textId="77777777" w:rsidTr="00DE045E">
        <w:trPr>
          <w:trHeight w:val="795"/>
        </w:trPr>
        <w:tc>
          <w:tcPr>
            <w:tcW w:w="3705" w:type="dxa"/>
            <w:vMerge w:val="restart"/>
          </w:tcPr>
          <w:p w14:paraId="25DD9463" w14:textId="5D775DFF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 xml:space="preserve">P8 </w:t>
            </w:r>
            <w:r w:rsidR="00F76191"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>–</w:t>
            </w: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 xml:space="preserve"> reduce </w:t>
            </w:r>
            <w:proofErr w:type="gramStart"/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>derivatives</w:t>
            </w:r>
            <w:proofErr w:type="gramEnd"/>
          </w:p>
          <w:p w14:paraId="5C75D301" w14:textId="09D3A122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Unnecessary derivatization (use of blocking groups, protection/deprotection, and temporary modification of physical/chemical processes) should be minimized or </w:t>
            </w:r>
            <w:proofErr w:type="gramStart"/>
            <w:r w:rsidRPr="00DE045E">
              <w:rPr>
                <w:rFonts w:ascii="Verdana Pro Cond Light" w:hAnsi="Verdana Pro Cond Light"/>
                <w:sz w:val="22"/>
                <w:szCs w:val="22"/>
              </w:rPr>
              <w:t>avoided</w:t>
            </w:r>
            <w:proofErr w:type="gramEnd"/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 if possible, because such steps require additional reagents and can generate waste.</w:t>
            </w:r>
          </w:p>
        </w:tc>
        <w:tc>
          <w:tcPr>
            <w:tcW w:w="326" w:type="dxa"/>
            <w:vAlign w:val="center"/>
          </w:tcPr>
          <w:p w14:paraId="54AE8D6A" w14:textId="0957D35D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3</w:t>
            </w:r>
          </w:p>
        </w:tc>
        <w:tc>
          <w:tcPr>
            <w:tcW w:w="5495" w:type="dxa"/>
            <w:vAlign w:val="center"/>
          </w:tcPr>
          <w:p w14:paraId="2F2CAB8D" w14:textId="6FAFBC9A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Derivatizations are not used or with one stage</w:t>
            </w:r>
          </w:p>
        </w:tc>
      </w:tr>
      <w:tr w:rsidR="009A0DC1" w:rsidRPr="00DE045E" w14:paraId="59B05347" w14:textId="77777777" w:rsidTr="00DE045E">
        <w:trPr>
          <w:trHeight w:val="794"/>
        </w:trPr>
        <w:tc>
          <w:tcPr>
            <w:tcW w:w="3705" w:type="dxa"/>
            <w:vMerge/>
          </w:tcPr>
          <w:p w14:paraId="1083789B" w14:textId="77777777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78B7FFE2" w14:textId="2C4A6E94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2</w:t>
            </w:r>
          </w:p>
        </w:tc>
        <w:tc>
          <w:tcPr>
            <w:tcW w:w="5495" w:type="dxa"/>
            <w:vAlign w:val="center"/>
          </w:tcPr>
          <w:p w14:paraId="1EB67B99" w14:textId="26E0E82F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Only one derivatization or with two stages</w:t>
            </w:r>
          </w:p>
        </w:tc>
      </w:tr>
      <w:tr w:rsidR="009A0DC1" w:rsidRPr="00DE045E" w14:paraId="1358FC9D" w14:textId="77777777" w:rsidTr="00DE045E">
        <w:trPr>
          <w:trHeight w:val="794"/>
        </w:trPr>
        <w:tc>
          <w:tcPr>
            <w:tcW w:w="3705" w:type="dxa"/>
            <w:vMerge/>
          </w:tcPr>
          <w:p w14:paraId="5C77BB8F" w14:textId="77777777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1E6E559C" w14:textId="3E80FE81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1</w:t>
            </w:r>
          </w:p>
        </w:tc>
        <w:tc>
          <w:tcPr>
            <w:tcW w:w="5495" w:type="dxa"/>
            <w:vAlign w:val="center"/>
          </w:tcPr>
          <w:p w14:paraId="786344F2" w14:textId="1D381371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More than one derivatization or more than two stages</w:t>
            </w:r>
          </w:p>
        </w:tc>
      </w:tr>
      <w:tr w:rsidR="009A0DC1" w:rsidRPr="00DE045E" w14:paraId="7BFF878D" w14:textId="77777777" w:rsidTr="00DE045E">
        <w:trPr>
          <w:trHeight w:val="341"/>
        </w:trPr>
        <w:tc>
          <w:tcPr>
            <w:tcW w:w="3705" w:type="dxa"/>
            <w:vMerge w:val="restart"/>
          </w:tcPr>
          <w:p w14:paraId="3338093A" w14:textId="6E686EBD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>P9 – catalysts</w:t>
            </w:r>
          </w:p>
          <w:p w14:paraId="1715365D" w14:textId="376D4C63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Catalytic reagents (as selective as possible) are superior to stoichiometric reagents.</w:t>
            </w:r>
          </w:p>
        </w:tc>
        <w:tc>
          <w:tcPr>
            <w:tcW w:w="326" w:type="dxa"/>
            <w:vAlign w:val="center"/>
          </w:tcPr>
          <w:p w14:paraId="38CAD8E8" w14:textId="26287C35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3</w:t>
            </w:r>
          </w:p>
        </w:tc>
        <w:tc>
          <w:tcPr>
            <w:tcW w:w="5495" w:type="dxa"/>
            <w:vAlign w:val="center"/>
          </w:tcPr>
          <w:p w14:paraId="23D34B61" w14:textId="5A4A61E6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Innocuous catalysts are used (S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1, </w:t>
            </w:r>
            <w:r w:rsidR="001A32B0" w:rsidRPr="00DE045E">
              <w:rPr>
                <w:rFonts w:ascii="Verdana Pro Cond Light" w:hAnsi="Verdana Pro Cond Light"/>
                <w:sz w:val="22"/>
                <w:szCs w:val="22"/>
              </w:rPr>
              <w:t>appendix 2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)</w:t>
            </w:r>
          </w:p>
        </w:tc>
      </w:tr>
      <w:tr w:rsidR="009A0DC1" w:rsidRPr="00DE045E" w14:paraId="47C05907" w14:textId="77777777" w:rsidTr="00DE045E">
        <w:trPr>
          <w:trHeight w:val="339"/>
        </w:trPr>
        <w:tc>
          <w:tcPr>
            <w:tcW w:w="3705" w:type="dxa"/>
            <w:vMerge/>
          </w:tcPr>
          <w:p w14:paraId="1A64C41B" w14:textId="77777777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5934E815" w14:textId="3F105AC1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2</w:t>
            </w:r>
          </w:p>
        </w:tc>
        <w:tc>
          <w:tcPr>
            <w:tcW w:w="5495" w:type="dxa"/>
            <w:vAlign w:val="center"/>
          </w:tcPr>
          <w:p w14:paraId="26C3FCA7" w14:textId="30F90BF9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Catalysts are used with moderate hazard to human health and environment (S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2, </w:t>
            </w:r>
            <w:r w:rsidR="001A32B0" w:rsidRPr="00DE045E">
              <w:rPr>
                <w:rFonts w:ascii="Verdana Pro Cond Light" w:hAnsi="Verdana Pro Cond Light"/>
                <w:sz w:val="22"/>
                <w:szCs w:val="22"/>
              </w:rPr>
              <w:t>appendix 2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)</w:t>
            </w:r>
          </w:p>
        </w:tc>
      </w:tr>
      <w:tr w:rsidR="009A0DC1" w:rsidRPr="00DE045E" w14:paraId="3F59756C" w14:textId="77777777" w:rsidTr="00DE045E">
        <w:trPr>
          <w:trHeight w:val="339"/>
        </w:trPr>
        <w:tc>
          <w:tcPr>
            <w:tcW w:w="3705" w:type="dxa"/>
            <w:vMerge/>
          </w:tcPr>
          <w:p w14:paraId="39242A86" w14:textId="77777777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189458B5" w14:textId="71768417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1</w:t>
            </w:r>
          </w:p>
        </w:tc>
        <w:tc>
          <w:tcPr>
            <w:tcW w:w="5495" w:type="dxa"/>
            <w:vAlign w:val="center"/>
          </w:tcPr>
          <w:p w14:paraId="3B802D5F" w14:textId="72C06B17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Catalysts are used with high hazard to human health and environment (S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3, </w:t>
            </w:r>
            <w:r w:rsidR="001A32B0" w:rsidRPr="00DE045E">
              <w:rPr>
                <w:rFonts w:ascii="Verdana Pro Cond Light" w:hAnsi="Verdana Pro Cond Light"/>
                <w:sz w:val="22"/>
                <w:szCs w:val="22"/>
              </w:rPr>
              <w:t>appendix 2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) or catalysts are not used</w:t>
            </w:r>
          </w:p>
        </w:tc>
      </w:tr>
      <w:tr w:rsidR="009A0DC1" w:rsidRPr="00DE045E" w14:paraId="6FC01E35" w14:textId="77777777" w:rsidTr="00DE045E">
        <w:trPr>
          <w:trHeight w:val="570"/>
        </w:trPr>
        <w:tc>
          <w:tcPr>
            <w:tcW w:w="3705" w:type="dxa"/>
            <w:vMerge w:val="restart"/>
          </w:tcPr>
          <w:p w14:paraId="417B992C" w14:textId="0FB00B85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 xml:space="preserve">P10 </w:t>
            </w:r>
            <w:r w:rsidR="00F76191"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>–</w:t>
            </w: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 xml:space="preserve"> design for</w:t>
            </w: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br/>
              <w:t>degradation</w:t>
            </w:r>
          </w:p>
          <w:p w14:paraId="150018B9" w14:textId="3DAFF6F0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Chemical products should be designed so that at the end of their function they break down into innocuous degradation products and do not persist in the environment.</w:t>
            </w:r>
          </w:p>
        </w:tc>
        <w:tc>
          <w:tcPr>
            <w:tcW w:w="326" w:type="dxa"/>
            <w:vAlign w:val="center"/>
          </w:tcPr>
          <w:p w14:paraId="2D25577A" w14:textId="103AA816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3</w:t>
            </w:r>
          </w:p>
        </w:tc>
        <w:tc>
          <w:tcPr>
            <w:tcW w:w="5495" w:type="dxa"/>
            <w:vAlign w:val="center"/>
          </w:tcPr>
          <w:p w14:paraId="3FC12548" w14:textId="5CE0D2E4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All substances involved are degradable and break down to innocuous products (S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1, </w:t>
            </w:r>
            <w:r w:rsidR="001A32B0" w:rsidRPr="00DE045E">
              <w:rPr>
                <w:rFonts w:ascii="Verdana Pro Cond Light" w:hAnsi="Verdana Pro Cond Light"/>
                <w:sz w:val="22"/>
                <w:szCs w:val="22"/>
              </w:rPr>
              <w:t>appendix 3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)</w:t>
            </w:r>
          </w:p>
        </w:tc>
      </w:tr>
      <w:tr w:rsidR="009A0DC1" w:rsidRPr="00DE045E" w14:paraId="356344F7" w14:textId="77777777" w:rsidTr="00DE045E">
        <w:trPr>
          <w:trHeight w:val="569"/>
        </w:trPr>
        <w:tc>
          <w:tcPr>
            <w:tcW w:w="3705" w:type="dxa"/>
            <w:vMerge/>
          </w:tcPr>
          <w:p w14:paraId="001CB719" w14:textId="77777777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4A58622B" w14:textId="50A05F57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2</w:t>
            </w:r>
          </w:p>
        </w:tc>
        <w:tc>
          <w:tcPr>
            <w:tcW w:w="5495" w:type="dxa"/>
            <w:vAlign w:val="center"/>
          </w:tcPr>
          <w:p w14:paraId="68A8F8F2" w14:textId="01288CCC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All substances involved not degradable may be treated to render them degradable to innocuous products (S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2, </w:t>
            </w:r>
            <w:r w:rsidR="001A32B0" w:rsidRPr="00DE045E">
              <w:rPr>
                <w:rFonts w:ascii="Verdana Pro Cond Light" w:hAnsi="Verdana Pro Cond Light"/>
                <w:sz w:val="22"/>
                <w:szCs w:val="22"/>
              </w:rPr>
              <w:t>appendix 3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)</w:t>
            </w:r>
          </w:p>
        </w:tc>
      </w:tr>
      <w:tr w:rsidR="009A0DC1" w:rsidRPr="00DE045E" w14:paraId="0F82148B" w14:textId="77777777" w:rsidTr="00DE045E">
        <w:trPr>
          <w:trHeight w:val="569"/>
        </w:trPr>
        <w:tc>
          <w:tcPr>
            <w:tcW w:w="3705" w:type="dxa"/>
            <w:vMerge/>
          </w:tcPr>
          <w:p w14:paraId="3C5992EB" w14:textId="77777777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28163561" w14:textId="33766ADE" w:rsidR="009A0DC1" w:rsidRPr="00DE045E" w:rsidRDefault="009A0DC1" w:rsidP="00DE04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1</w:t>
            </w:r>
          </w:p>
        </w:tc>
        <w:tc>
          <w:tcPr>
            <w:tcW w:w="5495" w:type="dxa"/>
            <w:vAlign w:val="center"/>
          </w:tcPr>
          <w:p w14:paraId="53661D62" w14:textId="2F0F6E6A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At least one substance is not degradable nor may be treated to render it degradable to innocuous products (S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3, </w:t>
            </w:r>
            <w:r w:rsidR="001A32B0" w:rsidRPr="00DE045E">
              <w:rPr>
                <w:rFonts w:ascii="Verdana Pro Cond Light" w:hAnsi="Verdana Pro Cond Light"/>
                <w:sz w:val="22"/>
                <w:szCs w:val="22"/>
              </w:rPr>
              <w:t>appendix 3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)</w:t>
            </w:r>
          </w:p>
        </w:tc>
      </w:tr>
      <w:tr w:rsidR="009A0DC1" w:rsidRPr="00DE045E" w14:paraId="6D2F4564" w14:textId="77777777" w:rsidTr="00DE045E">
        <w:tc>
          <w:tcPr>
            <w:tcW w:w="9526" w:type="dxa"/>
            <w:gridSpan w:val="3"/>
            <w:shd w:val="clear" w:color="auto" w:fill="EDEDED" w:themeFill="accent3" w:themeFillTint="33"/>
            <w:vAlign w:val="center"/>
          </w:tcPr>
          <w:p w14:paraId="73451D3A" w14:textId="4D996E07" w:rsidR="009A0DC1" w:rsidRPr="00DE045E" w:rsidRDefault="009A0DC1" w:rsidP="00F7619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>P11</w:t>
            </w:r>
            <w:r w:rsidR="00F76191"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 xml:space="preserve"> –</w:t>
            </w: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 xml:space="preserve"> real-time analysis for pollution prevention</w:t>
            </w:r>
          </w:p>
          <w:p w14:paraId="043B2CB8" w14:textId="7A8619CF" w:rsidR="009A0DC1" w:rsidRPr="00DE045E" w:rsidRDefault="009A0DC1" w:rsidP="00F7619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Analytical methodologies need to be further developed to allow for real-time, in-process monitoring and control prior to the formation of hazardous substances.</w:t>
            </w:r>
          </w:p>
        </w:tc>
      </w:tr>
      <w:tr w:rsidR="009A0DC1" w:rsidRPr="00DE045E" w14:paraId="6CBB4F62" w14:textId="77777777" w:rsidTr="00DE045E">
        <w:trPr>
          <w:trHeight w:val="625"/>
        </w:trPr>
        <w:tc>
          <w:tcPr>
            <w:tcW w:w="3705" w:type="dxa"/>
            <w:vMerge w:val="restart"/>
          </w:tcPr>
          <w:p w14:paraId="4700A605" w14:textId="462A1F91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 xml:space="preserve">P12 </w:t>
            </w:r>
            <w:r w:rsidR="00F76191"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>–</w:t>
            </w: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 xml:space="preserve"> safer chemistry</w:t>
            </w:r>
            <w:r w:rsidRPr="00DE045E">
              <w:rPr>
                <w:rFonts w:ascii="Verdana Pro Cond Light" w:hAnsi="Verdana Pro Cond Light"/>
                <w:b/>
                <w:bCs/>
                <w:sz w:val="22"/>
                <w:szCs w:val="22"/>
              </w:rPr>
              <w:br/>
              <w:t>for accident prevention</w:t>
            </w:r>
          </w:p>
          <w:p w14:paraId="4985F029" w14:textId="7EEDD7C4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Substances and the form of a substance used in a chemical process should be chosen to minimize the potential for chemical accidents including releases, explosions, and fires.</w:t>
            </w:r>
          </w:p>
        </w:tc>
        <w:tc>
          <w:tcPr>
            <w:tcW w:w="326" w:type="dxa"/>
            <w:vAlign w:val="center"/>
          </w:tcPr>
          <w:p w14:paraId="0B071CD9" w14:textId="318289CF" w:rsidR="009A0DC1" w:rsidRPr="00DE045E" w:rsidRDefault="009A0DC1" w:rsidP="00F7619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3</w:t>
            </w:r>
          </w:p>
        </w:tc>
        <w:tc>
          <w:tcPr>
            <w:tcW w:w="5495" w:type="dxa"/>
            <w:vAlign w:val="center"/>
          </w:tcPr>
          <w:p w14:paraId="325B1EDA" w14:textId="5DD5AFCC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Substances used with low hazard to cause chemical accidents (S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1, </w:t>
            </w:r>
            <w:r w:rsidR="001A32B0" w:rsidRPr="00DE045E">
              <w:rPr>
                <w:rFonts w:ascii="Verdana Pro Cond Light" w:hAnsi="Verdana Pro Cond Light"/>
                <w:sz w:val="22"/>
                <w:szCs w:val="22"/>
              </w:rPr>
              <w:t>appendix 2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, considering health and physical hazards)</w:t>
            </w:r>
          </w:p>
        </w:tc>
      </w:tr>
      <w:tr w:rsidR="009A0DC1" w:rsidRPr="00DE045E" w14:paraId="5921A8C9" w14:textId="77777777" w:rsidTr="00DE045E">
        <w:trPr>
          <w:trHeight w:val="624"/>
        </w:trPr>
        <w:tc>
          <w:tcPr>
            <w:tcW w:w="3705" w:type="dxa"/>
            <w:vMerge/>
          </w:tcPr>
          <w:p w14:paraId="151D9608" w14:textId="77777777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43B8E951" w14:textId="5164847A" w:rsidR="009A0DC1" w:rsidRPr="00DE045E" w:rsidRDefault="009A0DC1" w:rsidP="00F7619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2</w:t>
            </w:r>
          </w:p>
        </w:tc>
        <w:tc>
          <w:tcPr>
            <w:tcW w:w="5495" w:type="dxa"/>
            <w:vAlign w:val="center"/>
          </w:tcPr>
          <w:p w14:paraId="2B117E29" w14:textId="012A39AA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Substances used with moderate hazard to cause chemical accidents (S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2, </w:t>
            </w:r>
            <w:r w:rsidR="001A32B0" w:rsidRPr="00DE045E">
              <w:rPr>
                <w:rFonts w:ascii="Verdana Pro Cond Light" w:hAnsi="Verdana Pro Cond Light"/>
                <w:sz w:val="22"/>
                <w:szCs w:val="22"/>
              </w:rPr>
              <w:t>appendix 2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, or at least one substance, considering health and physical hazards, no substances with 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3)</w:t>
            </w:r>
          </w:p>
        </w:tc>
      </w:tr>
      <w:tr w:rsidR="009A0DC1" w:rsidRPr="00DE045E" w14:paraId="1E4C17A4" w14:textId="77777777" w:rsidTr="00DE045E">
        <w:trPr>
          <w:trHeight w:val="624"/>
        </w:trPr>
        <w:tc>
          <w:tcPr>
            <w:tcW w:w="3705" w:type="dxa"/>
            <w:vMerge/>
          </w:tcPr>
          <w:p w14:paraId="7B550234" w14:textId="77777777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7193DB98" w14:textId="183B255F" w:rsidR="009A0DC1" w:rsidRPr="00DE045E" w:rsidRDefault="009A0DC1" w:rsidP="00F7619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1</w:t>
            </w:r>
          </w:p>
        </w:tc>
        <w:tc>
          <w:tcPr>
            <w:tcW w:w="5495" w:type="dxa"/>
            <w:vAlign w:val="center"/>
          </w:tcPr>
          <w:p w14:paraId="07428745" w14:textId="4211501F" w:rsidR="009A0DC1" w:rsidRPr="00DE045E" w:rsidRDefault="009A0DC1" w:rsidP="009A0DC1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 Pro Cond Light" w:hAnsi="Verdana Pro Cond Light"/>
                <w:sz w:val="22"/>
                <w:szCs w:val="22"/>
              </w:rPr>
            </w:pPr>
            <w:r w:rsidRPr="00DE045E">
              <w:rPr>
                <w:rFonts w:ascii="Verdana Pro Cond Light" w:hAnsi="Verdana Pro Cond Light"/>
                <w:sz w:val="22"/>
                <w:szCs w:val="22"/>
              </w:rPr>
              <w:t>Substances used with high hazard to cause chemical accidents (S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=</w:t>
            </w:r>
            <w:r w:rsidR="000965A8" w:rsidRPr="00DE045E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 xml:space="preserve">3, </w:t>
            </w:r>
            <w:r w:rsidR="001A32B0" w:rsidRPr="00DE045E">
              <w:rPr>
                <w:rFonts w:ascii="Verdana Pro Cond Light" w:hAnsi="Verdana Pro Cond Light"/>
                <w:sz w:val="22"/>
                <w:szCs w:val="22"/>
              </w:rPr>
              <w:t>appendix 2</w:t>
            </w:r>
            <w:r w:rsidRPr="00DE045E">
              <w:rPr>
                <w:rFonts w:ascii="Verdana Pro Cond Light" w:hAnsi="Verdana Pro Cond Light"/>
                <w:sz w:val="22"/>
                <w:szCs w:val="22"/>
              </w:rPr>
              <w:t>, for at least one substance, considering health and physical hazards)</w:t>
            </w:r>
          </w:p>
        </w:tc>
      </w:tr>
    </w:tbl>
    <w:p w14:paraId="6181BB03" w14:textId="57F5232C" w:rsidR="00653995" w:rsidRPr="001D4F5A" w:rsidRDefault="00653995" w:rsidP="2FB203F1">
      <w:pPr>
        <w:pStyle w:val="HTML-forhndsformatert"/>
        <w:rPr>
          <w:rFonts w:ascii="Verdana Pro Cond Light" w:hAnsi="Verdana Pro Cond Light" w:cs="Calibri"/>
          <w:color w:val="525252" w:themeColor="accent3" w:themeShade="80"/>
          <w:sz w:val="22"/>
          <w:szCs w:val="22"/>
        </w:rPr>
      </w:pPr>
    </w:p>
    <w:p w14:paraId="620D443A" w14:textId="552EFA97" w:rsidR="00653995" w:rsidRPr="001D4F5A" w:rsidRDefault="1FDE45D8" w:rsidP="00DE045E">
      <w:pPr>
        <w:pStyle w:val="Overskrift2"/>
        <w:spacing w:before="120" w:after="120"/>
      </w:pPr>
      <w:r>
        <w:t>Reference</w:t>
      </w:r>
      <w:r w:rsidR="0381879A">
        <w:t>s</w:t>
      </w:r>
    </w:p>
    <w:p w14:paraId="6A6365B7" w14:textId="36D1BFAB" w:rsidR="2FB203F1" w:rsidRPr="00DE045E" w:rsidRDefault="1FDE45D8" w:rsidP="00225AE2">
      <w:pPr>
        <w:spacing w:before="120" w:after="120"/>
        <w:ind w:left="426" w:hanging="426"/>
        <w:rPr>
          <w:rFonts w:ascii="Verdana Pro Cond Light" w:hAnsi="Verdana Pro Cond Light"/>
          <w:sz w:val="14"/>
          <w:szCs w:val="14"/>
        </w:rPr>
      </w:pPr>
      <w:r w:rsidRPr="00DE045E">
        <w:rPr>
          <w:sz w:val="22"/>
          <w:szCs w:val="22"/>
        </w:rPr>
        <w:t xml:space="preserve">Ribeiro, M. G. T., Costa, D. A., &amp; Machado, A. A. (2010). “Green Star”: a holistic Green Chemistry metric for evaluation of teaching laboratory experiments. </w:t>
      </w:r>
      <w:r w:rsidRPr="00DE045E">
        <w:rPr>
          <w:i/>
          <w:iCs/>
          <w:sz w:val="22"/>
          <w:szCs w:val="22"/>
        </w:rPr>
        <w:t>Green Chemistry Letters and Reviews, 3</w:t>
      </w:r>
      <w:r w:rsidRPr="00DE045E">
        <w:rPr>
          <w:sz w:val="22"/>
          <w:szCs w:val="22"/>
        </w:rPr>
        <w:t xml:space="preserve">(2), 149-159. </w:t>
      </w:r>
      <w:hyperlink r:id="rId13" w:history="1">
        <w:r w:rsidR="00225AE2" w:rsidRPr="00DE045E">
          <w:rPr>
            <w:rStyle w:val="Hyperkobling"/>
            <w:sz w:val="22"/>
            <w:szCs w:val="22"/>
          </w:rPr>
          <w:t>https://doi.org/10.1080/17518251003623376</w:t>
        </w:r>
      </w:hyperlink>
      <w:r w:rsidR="00225AE2" w:rsidRPr="00DE045E">
        <w:rPr>
          <w:sz w:val="22"/>
          <w:szCs w:val="22"/>
        </w:rPr>
        <w:t xml:space="preserve"> </w:t>
      </w:r>
    </w:p>
    <w:p w14:paraId="47BFE9CE" w14:textId="161C7B58" w:rsidR="4E83C1E4" w:rsidRPr="00DE045E" w:rsidRDefault="1FDE45D8" w:rsidP="00DE045E">
      <w:pPr>
        <w:spacing w:before="120" w:after="120"/>
        <w:ind w:left="426" w:hanging="426"/>
        <w:rPr>
          <w:rFonts w:ascii="Verdana Pro Cond Light" w:hAnsi="Verdana Pro Cond Light" w:cs="Calibri"/>
          <w:color w:val="ED553B"/>
          <w:sz w:val="16"/>
          <w:szCs w:val="16"/>
        </w:rPr>
      </w:pPr>
      <w:r w:rsidRPr="00DE045E">
        <w:rPr>
          <w:sz w:val="22"/>
          <w:szCs w:val="22"/>
        </w:rPr>
        <w:t xml:space="preserve">Ribeiro, M. G. T., &amp; Machado, A. A. (2014). Green star construction. </w:t>
      </w:r>
      <w:hyperlink r:id="rId14" w:history="1">
        <w:r w:rsidR="00225AE2" w:rsidRPr="00DE045E">
          <w:rPr>
            <w:rStyle w:val="Hyperkobling"/>
            <w:sz w:val="22"/>
            <w:szCs w:val="22"/>
          </w:rPr>
          <w:t>http://educa.fc.up.pt/documentosQV/EV/Construction%20of%20Green%20Star_6_points_GSAI.xlsx</w:t>
        </w:r>
      </w:hyperlink>
    </w:p>
    <w:sectPr w:rsidR="4E83C1E4" w:rsidRPr="00DE045E" w:rsidSect="00DE045E">
      <w:pgSz w:w="11906" w:h="16838"/>
      <w:pgMar w:top="1702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1406" w14:textId="77777777" w:rsidR="00083A5F" w:rsidRDefault="00083A5F" w:rsidP="009F2AB1">
      <w:r>
        <w:separator/>
      </w:r>
    </w:p>
  </w:endnote>
  <w:endnote w:type="continuationSeparator" w:id="0">
    <w:p w14:paraId="77F3A0F5" w14:textId="77777777" w:rsidR="00083A5F" w:rsidRDefault="00083A5F" w:rsidP="009F2AB1">
      <w:r>
        <w:continuationSeparator/>
      </w:r>
    </w:p>
  </w:endnote>
  <w:endnote w:type="continuationNotice" w:id="1">
    <w:p w14:paraId="4A072ECB" w14:textId="77777777" w:rsidR="00083A5F" w:rsidRDefault="00083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Cond Light">
    <w:altName w:val="Calibri"/>
    <w:charset w:val="00"/>
    <w:family w:val="swiss"/>
    <w:pitch w:val="variable"/>
    <w:sig w:usb0="80000287" w:usb1="00000043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0AB5" w14:textId="77777777" w:rsidR="00083A5F" w:rsidRDefault="00083A5F" w:rsidP="009F2AB1">
      <w:bookmarkStart w:id="0" w:name="_Hlk93658421"/>
      <w:bookmarkEnd w:id="0"/>
      <w:r>
        <w:separator/>
      </w:r>
    </w:p>
  </w:footnote>
  <w:footnote w:type="continuationSeparator" w:id="0">
    <w:p w14:paraId="01DCCFFC" w14:textId="77777777" w:rsidR="00083A5F" w:rsidRDefault="00083A5F" w:rsidP="009F2AB1">
      <w:r>
        <w:continuationSeparator/>
      </w:r>
    </w:p>
  </w:footnote>
  <w:footnote w:type="continuationNotice" w:id="1">
    <w:p w14:paraId="67E7E6B6" w14:textId="77777777" w:rsidR="00083A5F" w:rsidRDefault="00083A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12B8" w14:textId="73185844" w:rsidR="00FD0659" w:rsidRPr="00494B07" w:rsidRDefault="00F76191" w:rsidP="00494B07">
    <w:pPr>
      <w:pStyle w:val="paragraph"/>
      <w:tabs>
        <w:tab w:val="left" w:pos="4481"/>
      </w:tabs>
      <w:spacing w:before="0" w:beforeAutospacing="0" w:after="0" w:afterAutospacing="0"/>
      <w:ind w:right="-993"/>
      <w:textAlignment w:val="baseline"/>
      <w:rPr>
        <w:rFonts w:ascii="Verdana Pro" w:eastAsia="DotumChe" w:hAnsi="Verdana Pro" w:cs="Calibri"/>
        <w:color w:val="1F629A"/>
        <w:sz w:val="20"/>
        <w:szCs w:val="20"/>
      </w:rPr>
    </w:pPr>
    <w:r>
      <w:rPr>
        <w:noProof/>
        <w:lang w:val="sl-SI" w:eastAsia="sl-SI"/>
      </w:rPr>
      <w:drawing>
        <wp:anchor distT="0" distB="0" distL="114300" distR="114300" simplePos="0" relativeHeight="251658246" behindDoc="0" locked="0" layoutInCell="1" allowOverlap="1" wp14:anchorId="3B6B3492" wp14:editId="07992CE2">
          <wp:simplePos x="0" y="0"/>
          <wp:positionH relativeFrom="column">
            <wp:posOffset>4290390</wp:posOffset>
          </wp:positionH>
          <wp:positionV relativeFrom="paragraph">
            <wp:posOffset>218440</wp:posOffset>
          </wp:positionV>
          <wp:extent cx="1447165" cy="323850"/>
          <wp:effectExtent l="0" t="0" r="635" b="0"/>
          <wp:wrapNone/>
          <wp:docPr id="49" name="Slika 50" descr="EU logo and the the text: Co-funded by the Erasmus+ Programme of the European Union">
            <a:extLst xmlns:a="http://schemas.openxmlformats.org/drawingml/2006/main">
              <a:ext uri="{FF2B5EF4-FFF2-40B4-BE49-F238E27FC236}">
                <a16:creationId xmlns:a16="http://schemas.microsoft.com/office/drawing/2014/main" id="{13CACD80-D766-4D9C-BB45-C3881F676CD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lika 50" descr="EU logo and the the text: Co-funded by the Erasmus+ Programme of the European Union">
                    <a:extLst>
                      <a:ext uri="{FF2B5EF4-FFF2-40B4-BE49-F238E27FC236}">
                        <a16:creationId xmlns:a16="http://schemas.microsoft.com/office/drawing/2014/main" id="{13CACD80-D766-4D9C-BB45-C3881F676CD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0BB9">
      <w:rPr>
        <w:noProof/>
        <w:lang w:val="sl-SI" w:eastAsia="sl-SI"/>
      </w:rPr>
      <w:drawing>
        <wp:inline distT="0" distB="0" distL="0" distR="0" wp14:anchorId="3867DEDB" wp14:editId="67534F01">
          <wp:extent cx="2009775" cy="533901"/>
          <wp:effectExtent l="0" t="0" r="0" b="0"/>
          <wp:docPr id="50" name="Picture 20" descr="CheSSE proje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20" descr="CheSSE projec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235" cy="53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2470" w14:textId="6BBC2978" w:rsidR="00FD0659" w:rsidRDefault="00FD0659" w:rsidP="006A7D01">
    <w:pPr>
      <w:pStyle w:val="paragraph"/>
      <w:spacing w:before="0" w:beforeAutospacing="0" w:after="0" w:afterAutospacing="0"/>
      <w:jc w:val="right"/>
      <w:textAlignment w:val="baseline"/>
      <w:rPr>
        <w:rStyle w:val="TopptekstTegn"/>
        <w:rFonts w:ascii="Verdana Pro" w:eastAsia="DotumChe" w:hAnsi="Verdana Pro" w:cs="Calibri"/>
        <w:b/>
        <w:bCs/>
        <w:color w:val="ED553B"/>
        <w:sz w:val="20"/>
        <w:szCs w:val="20"/>
      </w:rPr>
    </w:pPr>
    <w:r>
      <w:rPr>
        <w:noProof/>
        <w:lang w:val="sl-SI" w:eastAsia="sl-SI"/>
      </w:rPr>
      <w:drawing>
        <wp:anchor distT="0" distB="0" distL="114300" distR="114300" simplePos="0" relativeHeight="251658244" behindDoc="0" locked="0" layoutInCell="1" allowOverlap="1" wp14:anchorId="57E87065" wp14:editId="5997D362">
          <wp:simplePos x="0" y="0"/>
          <wp:positionH relativeFrom="column">
            <wp:posOffset>2504440</wp:posOffset>
          </wp:positionH>
          <wp:positionV relativeFrom="paragraph">
            <wp:posOffset>132374</wp:posOffset>
          </wp:positionV>
          <wp:extent cx="1703070" cy="381000"/>
          <wp:effectExtent l="0" t="0" r="0" b="0"/>
          <wp:wrapNone/>
          <wp:docPr id="51" name="Slika 38" descr="Slika, ki vsebuje besede znak, sedeče, ustavi, modro&#10;&#10;Opis je samodejno ustvarjen">
            <a:extLst xmlns:a="http://schemas.openxmlformats.org/drawingml/2006/main">
              <a:ext uri="{FF2B5EF4-FFF2-40B4-BE49-F238E27FC236}">
                <a16:creationId xmlns:a16="http://schemas.microsoft.com/office/drawing/2014/main" id="{13CACD80-D766-4D9C-BB45-C3881F676CD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38" descr="Slika, ki vsebuje besede znak, sedeče, ustavi, modro&#10;&#10;Opis je samodejno ustvarjen">
                    <a:extLst>
                      <a:ext uri="{FF2B5EF4-FFF2-40B4-BE49-F238E27FC236}">
                        <a16:creationId xmlns:a16="http://schemas.microsoft.com/office/drawing/2014/main" id="{13CACD80-D766-4D9C-BB45-C3881F676CD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07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243" behindDoc="0" locked="0" layoutInCell="1" allowOverlap="1" wp14:anchorId="7FDAB606" wp14:editId="6E13B48E">
          <wp:simplePos x="0" y="0"/>
          <wp:positionH relativeFrom="column">
            <wp:posOffset>1402</wp:posOffset>
          </wp:positionH>
          <wp:positionV relativeFrom="paragraph">
            <wp:posOffset>-27647</wp:posOffset>
          </wp:positionV>
          <wp:extent cx="2387024" cy="634118"/>
          <wp:effectExtent l="0" t="0" r="0" b="0"/>
          <wp:wrapNone/>
          <wp:docPr id="52" name="Picture 20" descr="A close up of a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SSE_logo_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024" cy="6341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</w:t>
    </w:r>
  </w:p>
  <w:p w14:paraId="56F5E949" w14:textId="30BD5D97" w:rsidR="00FD0659" w:rsidRDefault="00FD0659" w:rsidP="006A7D01">
    <w:pPr>
      <w:pStyle w:val="paragraph"/>
      <w:spacing w:before="0" w:beforeAutospacing="0" w:after="0" w:afterAutospacing="0"/>
      <w:jc w:val="right"/>
      <w:textAlignment w:val="baseline"/>
      <w:rPr>
        <w:rStyle w:val="normaltextrun"/>
        <w:rFonts w:ascii="Verdana Pro" w:eastAsia="DotumChe" w:hAnsi="Verdana Pro" w:cs="Calibri"/>
        <w:b/>
        <w:bCs/>
        <w:color w:val="ED553B"/>
        <w:sz w:val="20"/>
        <w:szCs w:val="20"/>
      </w:rPr>
    </w:pPr>
    <w:r w:rsidRPr="00A8573E">
      <w:rPr>
        <w:rStyle w:val="normaltextrun"/>
        <w:rFonts w:ascii="Verdana Pro" w:eastAsia="DotumChe" w:hAnsi="Verdana Pro" w:cs="Calibri"/>
        <w:b/>
        <w:bCs/>
        <w:color w:val="ED553B"/>
        <w:sz w:val="20"/>
        <w:szCs w:val="20"/>
      </w:rPr>
      <w:t>EXAMPLE 1</w:t>
    </w:r>
  </w:p>
  <w:p w14:paraId="0BD27514" w14:textId="358DCCB7" w:rsidR="00FD0659" w:rsidRDefault="00FD0659" w:rsidP="006A7D01">
    <w:pPr>
      <w:pStyle w:val="paragraph"/>
      <w:spacing w:before="0" w:beforeAutospacing="0" w:after="0" w:afterAutospacing="0"/>
      <w:jc w:val="right"/>
      <w:textAlignment w:val="baseline"/>
      <w:rPr>
        <w:rStyle w:val="normaltextrun"/>
        <w:rFonts w:ascii="Verdana Pro" w:eastAsia="DotumChe" w:hAnsi="Verdana Pro" w:cs="Calibri"/>
        <w:b/>
        <w:bCs/>
        <w:color w:val="ED553B"/>
        <w:sz w:val="20"/>
        <w:szCs w:val="20"/>
      </w:rPr>
    </w:pPr>
  </w:p>
  <w:p w14:paraId="5B99DCDF" w14:textId="3AC4CAB4" w:rsidR="00FD0659" w:rsidRPr="00A8573E" w:rsidRDefault="00FD0659" w:rsidP="006A7D01">
    <w:pPr>
      <w:pStyle w:val="paragraph"/>
      <w:spacing w:before="0" w:beforeAutospacing="0" w:after="0" w:afterAutospacing="0"/>
      <w:jc w:val="right"/>
      <w:textAlignment w:val="baseline"/>
      <w:rPr>
        <w:rStyle w:val="normaltextrun"/>
        <w:rFonts w:ascii="Verdana Pro" w:eastAsia="DotumChe" w:hAnsi="Verdana Pro" w:cs="Calibri"/>
        <w:b/>
        <w:bCs/>
        <w:color w:val="ED553B"/>
        <w:sz w:val="20"/>
        <w:szCs w:val="2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KYDAXwqhzXWc8" int2:id="q7MXjXn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664EB6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8163B2"/>
    <w:multiLevelType w:val="multilevel"/>
    <w:tmpl w:val="D818B7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0514A"/>
    <w:multiLevelType w:val="multilevel"/>
    <w:tmpl w:val="9A76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9914AA"/>
    <w:multiLevelType w:val="multilevel"/>
    <w:tmpl w:val="05C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695778"/>
    <w:multiLevelType w:val="multilevel"/>
    <w:tmpl w:val="DFE6FC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03EEC"/>
    <w:multiLevelType w:val="hybridMultilevel"/>
    <w:tmpl w:val="27962C32"/>
    <w:lvl w:ilvl="0" w:tplc="CA92F03A">
      <w:start w:val="1"/>
      <w:numFmt w:val="decimal"/>
      <w:lvlText w:val="%1."/>
      <w:lvlJc w:val="left"/>
      <w:pPr>
        <w:ind w:left="720" w:hanging="360"/>
      </w:pPr>
      <w:rPr>
        <w:rFonts w:hint="default"/>
        <w:color w:val="7CDC5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5826"/>
    <w:multiLevelType w:val="multilevel"/>
    <w:tmpl w:val="D260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BE6FF5"/>
    <w:multiLevelType w:val="hybridMultilevel"/>
    <w:tmpl w:val="D486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426C8"/>
    <w:multiLevelType w:val="multilevel"/>
    <w:tmpl w:val="2332B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1736C"/>
    <w:multiLevelType w:val="hybridMultilevel"/>
    <w:tmpl w:val="78E6A0C6"/>
    <w:lvl w:ilvl="0" w:tplc="36C0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7CDC5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E2957"/>
    <w:multiLevelType w:val="multilevel"/>
    <w:tmpl w:val="56D22E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481084"/>
    <w:multiLevelType w:val="hybridMultilevel"/>
    <w:tmpl w:val="B32A0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5110F"/>
    <w:multiLevelType w:val="multilevel"/>
    <w:tmpl w:val="29A4D0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1F3617"/>
    <w:multiLevelType w:val="multilevel"/>
    <w:tmpl w:val="B598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FB0692"/>
    <w:multiLevelType w:val="hybridMultilevel"/>
    <w:tmpl w:val="5E0679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92913"/>
    <w:multiLevelType w:val="hybridMultilevel"/>
    <w:tmpl w:val="041C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4581A"/>
    <w:multiLevelType w:val="hybridMultilevel"/>
    <w:tmpl w:val="375C24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E5399"/>
    <w:multiLevelType w:val="multilevel"/>
    <w:tmpl w:val="C452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3D4E39"/>
    <w:multiLevelType w:val="multilevel"/>
    <w:tmpl w:val="4BF8D5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E622C8"/>
    <w:multiLevelType w:val="multilevel"/>
    <w:tmpl w:val="0B26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FC7F38"/>
    <w:multiLevelType w:val="hybridMultilevel"/>
    <w:tmpl w:val="D4AC4C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20030"/>
    <w:multiLevelType w:val="hybridMultilevel"/>
    <w:tmpl w:val="77624E9E"/>
    <w:lvl w:ilvl="0" w:tplc="ED625EFC">
      <w:numFmt w:val="bullet"/>
      <w:lvlText w:val="-"/>
      <w:lvlJc w:val="left"/>
      <w:pPr>
        <w:ind w:left="720" w:hanging="360"/>
      </w:pPr>
      <w:rPr>
        <w:rFonts w:ascii="Verdana Pro Cond Light" w:eastAsia="DotumChe" w:hAnsi="Verdana Pro Cond Light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F22FB"/>
    <w:multiLevelType w:val="multilevel"/>
    <w:tmpl w:val="4F04C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F51681"/>
    <w:multiLevelType w:val="hybridMultilevel"/>
    <w:tmpl w:val="CC0C817C"/>
    <w:lvl w:ilvl="0" w:tplc="79A8C018">
      <w:numFmt w:val="bullet"/>
      <w:lvlText w:val="•"/>
      <w:lvlJc w:val="left"/>
      <w:pPr>
        <w:ind w:left="720" w:hanging="360"/>
      </w:pPr>
      <w:rPr>
        <w:rFonts w:ascii="Verdana Pro Cond Light" w:eastAsia="Times New Roman" w:hAnsi="Verdana Pro Cond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9564D"/>
    <w:multiLevelType w:val="multilevel"/>
    <w:tmpl w:val="141E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DD1662"/>
    <w:multiLevelType w:val="hybridMultilevel"/>
    <w:tmpl w:val="A024F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749"/>
    <w:multiLevelType w:val="hybridMultilevel"/>
    <w:tmpl w:val="5704AB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82086"/>
    <w:multiLevelType w:val="hybridMultilevel"/>
    <w:tmpl w:val="575A7B86"/>
    <w:lvl w:ilvl="0" w:tplc="B73E7726">
      <w:start w:val="3"/>
      <w:numFmt w:val="bullet"/>
      <w:lvlText w:val="-"/>
      <w:lvlJc w:val="left"/>
      <w:pPr>
        <w:ind w:left="720" w:hanging="360"/>
      </w:pPr>
      <w:rPr>
        <w:rFonts w:ascii="Verdana Pro Cond Light" w:eastAsia="Times New Roman" w:hAnsi="Verdana Pro Cond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E288F"/>
    <w:multiLevelType w:val="hybridMultilevel"/>
    <w:tmpl w:val="4DA42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E34BA"/>
    <w:multiLevelType w:val="hybridMultilevel"/>
    <w:tmpl w:val="EB6C5114"/>
    <w:lvl w:ilvl="0" w:tplc="DDC8E168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cstheme="majorHAnsi" w:hint="default"/>
        <w:b/>
        <w:bCs/>
        <w:color w:val="44546A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B86643"/>
    <w:multiLevelType w:val="hybridMultilevel"/>
    <w:tmpl w:val="A676666E"/>
    <w:lvl w:ilvl="0" w:tplc="0D166164">
      <w:start w:val="1"/>
      <w:numFmt w:val="decimal"/>
      <w:lvlText w:val="%1."/>
      <w:lvlJc w:val="left"/>
      <w:pPr>
        <w:ind w:left="1080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BA0F78"/>
    <w:multiLevelType w:val="multilevel"/>
    <w:tmpl w:val="4D5E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FB617E"/>
    <w:multiLevelType w:val="multilevel"/>
    <w:tmpl w:val="B306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39081F"/>
    <w:multiLevelType w:val="hybridMultilevel"/>
    <w:tmpl w:val="3C5A973A"/>
    <w:lvl w:ilvl="0" w:tplc="EF8ED3E2">
      <w:start w:val="2"/>
      <w:numFmt w:val="bullet"/>
      <w:lvlText w:val=""/>
      <w:lvlJc w:val="left"/>
      <w:pPr>
        <w:ind w:left="480" w:hanging="360"/>
      </w:pPr>
      <w:rPr>
        <w:rFonts w:ascii="Wingdings" w:eastAsia="Times New Roman" w:hAnsi="Wingdings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4" w15:restartNumberingAfterBreak="0">
    <w:nsid w:val="78AC2952"/>
    <w:multiLevelType w:val="hybridMultilevel"/>
    <w:tmpl w:val="AA809D92"/>
    <w:lvl w:ilvl="0" w:tplc="801A04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25252" w:themeColor="accent3" w:themeShade="8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D52253"/>
    <w:multiLevelType w:val="multilevel"/>
    <w:tmpl w:val="224C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7944005">
    <w:abstractNumId w:val="32"/>
  </w:num>
  <w:num w:numId="2" w16cid:durableId="1498619102">
    <w:abstractNumId w:val="22"/>
  </w:num>
  <w:num w:numId="3" w16cid:durableId="194461546">
    <w:abstractNumId w:val="8"/>
  </w:num>
  <w:num w:numId="4" w16cid:durableId="386877928">
    <w:abstractNumId w:val="4"/>
  </w:num>
  <w:num w:numId="5" w16cid:durableId="162205416">
    <w:abstractNumId w:val="1"/>
  </w:num>
  <w:num w:numId="6" w16cid:durableId="956326794">
    <w:abstractNumId w:val="12"/>
  </w:num>
  <w:num w:numId="7" w16cid:durableId="718631895">
    <w:abstractNumId w:val="2"/>
  </w:num>
  <w:num w:numId="8" w16cid:durableId="1304264218">
    <w:abstractNumId w:val="35"/>
  </w:num>
  <w:num w:numId="9" w16cid:durableId="715740775">
    <w:abstractNumId w:val="18"/>
  </w:num>
  <w:num w:numId="10" w16cid:durableId="1464303009">
    <w:abstractNumId w:val="3"/>
  </w:num>
  <w:num w:numId="11" w16cid:durableId="548999574">
    <w:abstractNumId w:val="19"/>
  </w:num>
  <w:num w:numId="12" w16cid:durableId="225728151">
    <w:abstractNumId w:val="10"/>
  </w:num>
  <w:num w:numId="13" w16cid:durableId="1496920395">
    <w:abstractNumId w:val="6"/>
  </w:num>
  <w:num w:numId="14" w16cid:durableId="1144274302">
    <w:abstractNumId w:val="13"/>
  </w:num>
  <w:num w:numId="15" w16cid:durableId="699479211">
    <w:abstractNumId w:val="24"/>
  </w:num>
  <w:num w:numId="16" w16cid:durableId="1589999858">
    <w:abstractNumId w:val="11"/>
  </w:num>
  <w:num w:numId="17" w16cid:durableId="470830931">
    <w:abstractNumId w:val="0"/>
    <w:lvlOverride w:ilvl="0">
      <w:lvl w:ilvl="0">
        <w:numFmt w:val="decimal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18" w16cid:durableId="1021201481">
    <w:abstractNumId w:val="9"/>
  </w:num>
  <w:num w:numId="19" w16cid:durableId="168258458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6847442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18854199">
    <w:abstractNumId w:val="28"/>
  </w:num>
  <w:num w:numId="22" w16cid:durableId="483591597">
    <w:abstractNumId w:val="7"/>
  </w:num>
  <w:num w:numId="23" w16cid:durableId="1921867671">
    <w:abstractNumId w:val="34"/>
  </w:num>
  <w:num w:numId="24" w16cid:durableId="352807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9554483">
    <w:abstractNumId w:val="15"/>
  </w:num>
  <w:num w:numId="26" w16cid:durableId="1191144504">
    <w:abstractNumId w:val="23"/>
  </w:num>
  <w:num w:numId="27" w16cid:durableId="1067269436">
    <w:abstractNumId w:val="27"/>
  </w:num>
  <w:num w:numId="28" w16cid:durableId="1886746025">
    <w:abstractNumId w:val="30"/>
  </w:num>
  <w:num w:numId="29" w16cid:durableId="377507828">
    <w:abstractNumId w:val="5"/>
  </w:num>
  <w:num w:numId="30" w16cid:durableId="1787502165">
    <w:abstractNumId w:val="14"/>
  </w:num>
  <w:num w:numId="31" w16cid:durableId="1505124872">
    <w:abstractNumId w:val="26"/>
  </w:num>
  <w:num w:numId="32" w16cid:durableId="1604915222">
    <w:abstractNumId w:val="20"/>
  </w:num>
  <w:num w:numId="33" w16cid:durableId="1394114096">
    <w:abstractNumId w:val="21"/>
  </w:num>
  <w:num w:numId="34" w16cid:durableId="1289386883">
    <w:abstractNumId w:val="16"/>
  </w:num>
  <w:num w:numId="35" w16cid:durableId="576984534">
    <w:abstractNumId w:val="25"/>
  </w:num>
  <w:num w:numId="36" w16cid:durableId="2119371821">
    <w:abstractNumId w:val="33"/>
  </w:num>
  <w:num w:numId="37" w16cid:durableId="1326780739">
    <w:abstractNumId w:val="31"/>
  </w:num>
  <w:num w:numId="38" w16cid:durableId="12731721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36"/>
    <w:rsid w:val="000105B4"/>
    <w:rsid w:val="00011E4F"/>
    <w:rsid w:val="000164CC"/>
    <w:rsid w:val="00023132"/>
    <w:rsid w:val="00042853"/>
    <w:rsid w:val="00044586"/>
    <w:rsid w:val="00047F64"/>
    <w:rsid w:val="0005516E"/>
    <w:rsid w:val="000816E5"/>
    <w:rsid w:val="00082A36"/>
    <w:rsid w:val="000836DC"/>
    <w:rsid w:val="00083A5F"/>
    <w:rsid w:val="00085F26"/>
    <w:rsid w:val="000870AF"/>
    <w:rsid w:val="000965A8"/>
    <w:rsid w:val="000A01D7"/>
    <w:rsid w:val="000A5254"/>
    <w:rsid w:val="000A5A0E"/>
    <w:rsid w:val="000B0C99"/>
    <w:rsid w:val="000B3AE5"/>
    <w:rsid w:val="000C08AC"/>
    <w:rsid w:val="000C30E5"/>
    <w:rsid w:val="000E2BC5"/>
    <w:rsid w:val="0010467D"/>
    <w:rsid w:val="00105817"/>
    <w:rsid w:val="00107494"/>
    <w:rsid w:val="00112CE9"/>
    <w:rsid w:val="00113F83"/>
    <w:rsid w:val="001275CC"/>
    <w:rsid w:val="0013183C"/>
    <w:rsid w:val="00131C2D"/>
    <w:rsid w:val="001431B3"/>
    <w:rsid w:val="0014527B"/>
    <w:rsid w:val="001524CF"/>
    <w:rsid w:val="001676F7"/>
    <w:rsid w:val="001708E6"/>
    <w:rsid w:val="00171FB0"/>
    <w:rsid w:val="00173F01"/>
    <w:rsid w:val="001A1E52"/>
    <w:rsid w:val="001A32B0"/>
    <w:rsid w:val="001A5A54"/>
    <w:rsid w:val="001C591D"/>
    <w:rsid w:val="001C79C2"/>
    <w:rsid w:val="001D1F61"/>
    <w:rsid w:val="001D4F5A"/>
    <w:rsid w:val="001F7EFB"/>
    <w:rsid w:val="00201927"/>
    <w:rsid w:val="00211506"/>
    <w:rsid w:val="00216C7F"/>
    <w:rsid w:val="00225606"/>
    <w:rsid w:val="00225ACC"/>
    <w:rsid w:val="00225AE2"/>
    <w:rsid w:val="00226D80"/>
    <w:rsid w:val="00231955"/>
    <w:rsid w:val="00233752"/>
    <w:rsid w:val="00234E1E"/>
    <w:rsid w:val="0024097E"/>
    <w:rsid w:val="00240A15"/>
    <w:rsid w:val="00241374"/>
    <w:rsid w:val="00250170"/>
    <w:rsid w:val="002509FA"/>
    <w:rsid w:val="00255661"/>
    <w:rsid w:val="00255BBF"/>
    <w:rsid w:val="00255FC2"/>
    <w:rsid w:val="00256857"/>
    <w:rsid w:val="00256868"/>
    <w:rsid w:val="00261C0C"/>
    <w:rsid w:val="00267D09"/>
    <w:rsid w:val="0027113E"/>
    <w:rsid w:val="00272606"/>
    <w:rsid w:val="002727B9"/>
    <w:rsid w:val="00274C60"/>
    <w:rsid w:val="002922DE"/>
    <w:rsid w:val="0029669E"/>
    <w:rsid w:val="00296DC2"/>
    <w:rsid w:val="002A706C"/>
    <w:rsid w:val="002B6A81"/>
    <w:rsid w:val="002C3B84"/>
    <w:rsid w:val="003001CD"/>
    <w:rsid w:val="00303412"/>
    <w:rsid w:val="003118B9"/>
    <w:rsid w:val="00314EEB"/>
    <w:rsid w:val="00331A00"/>
    <w:rsid w:val="00353636"/>
    <w:rsid w:val="00357431"/>
    <w:rsid w:val="00383E7F"/>
    <w:rsid w:val="00385A4B"/>
    <w:rsid w:val="00390FA9"/>
    <w:rsid w:val="00392924"/>
    <w:rsid w:val="003B65DB"/>
    <w:rsid w:val="003B7F7A"/>
    <w:rsid w:val="003C0BB9"/>
    <w:rsid w:val="003D5B5A"/>
    <w:rsid w:val="003D71CE"/>
    <w:rsid w:val="003E1EA4"/>
    <w:rsid w:val="003E49F2"/>
    <w:rsid w:val="003F1E3B"/>
    <w:rsid w:val="00431B68"/>
    <w:rsid w:val="00435343"/>
    <w:rsid w:val="00437100"/>
    <w:rsid w:val="00466A0D"/>
    <w:rsid w:val="00471544"/>
    <w:rsid w:val="0047417A"/>
    <w:rsid w:val="00481090"/>
    <w:rsid w:val="00494B07"/>
    <w:rsid w:val="004967E1"/>
    <w:rsid w:val="004B1282"/>
    <w:rsid w:val="004B78AB"/>
    <w:rsid w:val="004C61F6"/>
    <w:rsid w:val="004D4D0A"/>
    <w:rsid w:val="004E5237"/>
    <w:rsid w:val="004F0CD6"/>
    <w:rsid w:val="004F34A5"/>
    <w:rsid w:val="004F7278"/>
    <w:rsid w:val="005027AC"/>
    <w:rsid w:val="0050706C"/>
    <w:rsid w:val="00516372"/>
    <w:rsid w:val="005168C9"/>
    <w:rsid w:val="005217B1"/>
    <w:rsid w:val="00523038"/>
    <w:rsid w:val="00530F84"/>
    <w:rsid w:val="005345FA"/>
    <w:rsid w:val="0055625D"/>
    <w:rsid w:val="005574B7"/>
    <w:rsid w:val="00567D45"/>
    <w:rsid w:val="00571A79"/>
    <w:rsid w:val="00580E67"/>
    <w:rsid w:val="005857AC"/>
    <w:rsid w:val="0059426C"/>
    <w:rsid w:val="005A665D"/>
    <w:rsid w:val="005A6F83"/>
    <w:rsid w:val="005B0A59"/>
    <w:rsid w:val="005C2C61"/>
    <w:rsid w:val="005D0447"/>
    <w:rsid w:val="005D52D5"/>
    <w:rsid w:val="005D72EE"/>
    <w:rsid w:val="00600198"/>
    <w:rsid w:val="00603E56"/>
    <w:rsid w:val="0061525A"/>
    <w:rsid w:val="00616BA8"/>
    <w:rsid w:val="00636166"/>
    <w:rsid w:val="00641E64"/>
    <w:rsid w:val="00643CBC"/>
    <w:rsid w:val="00653995"/>
    <w:rsid w:val="006652D2"/>
    <w:rsid w:val="00665A3C"/>
    <w:rsid w:val="00674ED5"/>
    <w:rsid w:val="0069598D"/>
    <w:rsid w:val="00696424"/>
    <w:rsid w:val="006A7D01"/>
    <w:rsid w:val="006A7E27"/>
    <w:rsid w:val="006C1794"/>
    <w:rsid w:val="006D3612"/>
    <w:rsid w:val="006E3D56"/>
    <w:rsid w:val="006F67D8"/>
    <w:rsid w:val="00701CA8"/>
    <w:rsid w:val="007075CD"/>
    <w:rsid w:val="0071330B"/>
    <w:rsid w:val="007154D4"/>
    <w:rsid w:val="00730F84"/>
    <w:rsid w:val="00743237"/>
    <w:rsid w:val="0074546F"/>
    <w:rsid w:val="0075455C"/>
    <w:rsid w:val="00765583"/>
    <w:rsid w:val="00765E26"/>
    <w:rsid w:val="00782C8D"/>
    <w:rsid w:val="007A0611"/>
    <w:rsid w:val="007B189C"/>
    <w:rsid w:val="007B4B0F"/>
    <w:rsid w:val="007C4F0C"/>
    <w:rsid w:val="007C61BE"/>
    <w:rsid w:val="007D3D80"/>
    <w:rsid w:val="007E57A6"/>
    <w:rsid w:val="007E7112"/>
    <w:rsid w:val="007F724D"/>
    <w:rsid w:val="00800D66"/>
    <w:rsid w:val="0080267D"/>
    <w:rsid w:val="00805578"/>
    <w:rsid w:val="00811E99"/>
    <w:rsid w:val="00812361"/>
    <w:rsid w:val="00814EC1"/>
    <w:rsid w:val="008166CD"/>
    <w:rsid w:val="008223C9"/>
    <w:rsid w:val="00824A1D"/>
    <w:rsid w:val="00834941"/>
    <w:rsid w:val="00840255"/>
    <w:rsid w:val="008467AC"/>
    <w:rsid w:val="00846DE1"/>
    <w:rsid w:val="008509D4"/>
    <w:rsid w:val="008575E9"/>
    <w:rsid w:val="008655ED"/>
    <w:rsid w:val="00866698"/>
    <w:rsid w:val="008708EA"/>
    <w:rsid w:val="0087609B"/>
    <w:rsid w:val="00880514"/>
    <w:rsid w:val="0088456E"/>
    <w:rsid w:val="00886C1C"/>
    <w:rsid w:val="00897C9F"/>
    <w:rsid w:val="008A4083"/>
    <w:rsid w:val="008B3259"/>
    <w:rsid w:val="008B6D65"/>
    <w:rsid w:val="008C0E45"/>
    <w:rsid w:val="008D0654"/>
    <w:rsid w:val="008D190A"/>
    <w:rsid w:val="008E605D"/>
    <w:rsid w:val="008E68A7"/>
    <w:rsid w:val="008F34B4"/>
    <w:rsid w:val="009007B6"/>
    <w:rsid w:val="00904848"/>
    <w:rsid w:val="009053D3"/>
    <w:rsid w:val="009169DB"/>
    <w:rsid w:val="009211D0"/>
    <w:rsid w:val="00924484"/>
    <w:rsid w:val="009312E0"/>
    <w:rsid w:val="00931D60"/>
    <w:rsid w:val="0093481D"/>
    <w:rsid w:val="0093747B"/>
    <w:rsid w:val="00946B0A"/>
    <w:rsid w:val="00973169"/>
    <w:rsid w:val="0097596B"/>
    <w:rsid w:val="00985EE6"/>
    <w:rsid w:val="00995595"/>
    <w:rsid w:val="009A0DC1"/>
    <w:rsid w:val="009A261D"/>
    <w:rsid w:val="009B5F54"/>
    <w:rsid w:val="009B66B0"/>
    <w:rsid w:val="009C108E"/>
    <w:rsid w:val="009C6BEC"/>
    <w:rsid w:val="009C7AE2"/>
    <w:rsid w:val="009D0572"/>
    <w:rsid w:val="009D28E8"/>
    <w:rsid w:val="009D2B89"/>
    <w:rsid w:val="009D79AD"/>
    <w:rsid w:val="009E4A8B"/>
    <w:rsid w:val="009E5416"/>
    <w:rsid w:val="009F01F1"/>
    <w:rsid w:val="009F2AB1"/>
    <w:rsid w:val="009F5395"/>
    <w:rsid w:val="00A068F9"/>
    <w:rsid w:val="00A10A3C"/>
    <w:rsid w:val="00A13D8D"/>
    <w:rsid w:val="00A13EB3"/>
    <w:rsid w:val="00A1435F"/>
    <w:rsid w:val="00A34C97"/>
    <w:rsid w:val="00A3510D"/>
    <w:rsid w:val="00A4631E"/>
    <w:rsid w:val="00A47366"/>
    <w:rsid w:val="00A517AB"/>
    <w:rsid w:val="00A54CA4"/>
    <w:rsid w:val="00A6156B"/>
    <w:rsid w:val="00A671D8"/>
    <w:rsid w:val="00A728CD"/>
    <w:rsid w:val="00A74463"/>
    <w:rsid w:val="00A8573E"/>
    <w:rsid w:val="00AA1950"/>
    <w:rsid w:val="00AA5984"/>
    <w:rsid w:val="00AB26E6"/>
    <w:rsid w:val="00AB502C"/>
    <w:rsid w:val="00AC3D3B"/>
    <w:rsid w:val="00AD2C2A"/>
    <w:rsid w:val="00AE6BC8"/>
    <w:rsid w:val="00AF30FA"/>
    <w:rsid w:val="00AF6515"/>
    <w:rsid w:val="00AF7881"/>
    <w:rsid w:val="00B115E9"/>
    <w:rsid w:val="00B1268A"/>
    <w:rsid w:val="00B17C21"/>
    <w:rsid w:val="00B26CA0"/>
    <w:rsid w:val="00B44D16"/>
    <w:rsid w:val="00B4797E"/>
    <w:rsid w:val="00B56A5D"/>
    <w:rsid w:val="00B61B27"/>
    <w:rsid w:val="00B73756"/>
    <w:rsid w:val="00B744D6"/>
    <w:rsid w:val="00B82AB5"/>
    <w:rsid w:val="00B84386"/>
    <w:rsid w:val="00B94DF4"/>
    <w:rsid w:val="00B962B4"/>
    <w:rsid w:val="00BA047D"/>
    <w:rsid w:val="00BA216C"/>
    <w:rsid w:val="00BC471D"/>
    <w:rsid w:val="00BD0701"/>
    <w:rsid w:val="00BE4DC1"/>
    <w:rsid w:val="00C04723"/>
    <w:rsid w:val="00C04C4A"/>
    <w:rsid w:val="00C04F10"/>
    <w:rsid w:val="00C05104"/>
    <w:rsid w:val="00C05144"/>
    <w:rsid w:val="00C12A1D"/>
    <w:rsid w:val="00C205AC"/>
    <w:rsid w:val="00C271C7"/>
    <w:rsid w:val="00C40783"/>
    <w:rsid w:val="00C43A76"/>
    <w:rsid w:val="00C44F34"/>
    <w:rsid w:val="00C45F76"/>
    <w:rsid w:val="00C508EE"/>
    <w:rsid w:val="00C64CEB"/>
    <w:rsid w:val="00C70B8C"/>
    <w:rsid w:val="00C72ADF"/>
    <w:rsid w:val="00C75723"/>
    <w:rsid w:val="00C95867"/>
    <w:rsid w:val="00CA2945"/>
    <w:rsid w:val="00CA3BA2"/>
    <w:rsid w:val="00CA6036"/>
    <w:rsid w:val="00CC07A1"/>
    <w:rsid w:val="00CD0179"/>
    <w:rsid w:val="00CF2466"/>
    <w:rsid w:val="00CF3253"/>
    <w:rsid w:val="00D1430B"/>
    <w:rsid w:val="00D15453"/>
    <w:rsid w:val="00D172DE"/>
    <w:rsid w:val="00D26D54"/>
    <w:rsid w:val="00D32268"/>
    <w:rsid w:val="00D44C8F"/>
    <w:rsid w:val="00D5016A"/>
    <w:rsid w:val="00D53E77"/>
    <w:rsid w:val="00D55676"/>
    <w:rsid w:val="00D60E01"/>
    <w:rsid w:val="00D72CC4"/>
    <w:rsid w:val="00D80FEC"/>
    <w:rsid w:val="00D825B1"/>
    <w:rsid w:val="00D84E26"/>
    <w:rsid w:val="00D9664A"/>
    <w:rsid w:val="00DA0081"/>
    <w:rsid w:val="00DA675C"/>
    <w:rsid w:val="00DB26BB"/>
    <w:rsid w:val="00DC07D0"/>
    <w:rsid w:val="00DC4E3D"/>
    <w:rsid w:val="00DD12BE"/>
    <w:rsid w:val="00DE045E"/>
    <w:rsid w:val="00DE0AF9"/>
    <w:rsid w:val="00DE241C"/>
    <w:rsid w:val="00DE541E"/>
    <w:rsid w:val="00DF1530"/>
    <w:rsid w:val="00DF1E9F"/>
    <w:rsid w:val="00DF3768"/>
    <w:rsid w:val="00DF6C03"/>
    <w:rsid w:val="00E047D3"/>
    <w:rsid w:val="00E2104F"/>
    <w:rsid w:val="00E25E2C"/>
    <w:rsid w:val="00E25F52"/>
    <w:rsid w:val="00E34CEA"/>
    <w:rsid w:val="00E446D7"/>
    <w:rsid w:val="00E448BD"/>
    <w:rsid w:val="00E601B3"/>
    <w:rsid w:val="00E71EBC"/>
    <w:rsid w:val="00E75107"/>
    <w:rsid w:val="00E86674"/>
    <w:rsid w:val="00E9088A"/>
    <w:rsid w:val="00E90E1C"/>
    <w:rsid w:val="00E92602"/>
    <w:rsid w:val="00E96F75"/>
    <w:rsid w:val="00EB683C"/>
    <w:rsid w:val="00EC0625"/>
    <w:rsid w:val="00EC458C"/>
    <w:rsid w:val="00EE0A48"/>
    <w:rsid w:val="00EE137D"/>
    <w:rsid w:val="00F110BA"/>
    <w:rsid w:val="00F13B19"/>
    <w:rsid w:val="00F155DC"/>
    <w:rsid w:val="00F24D58"/>
    <w:rsid w:val="00F3150F"/>
    <w:rsid w:val="00F34A3A"/>
    <w:rsid w:val="00F47E00"/>
    <w:rsid w:val="00F52FC9"/>
    <w:rsid w:val="00F6322B"/>
    <w:rsid w:val="00F65A90"/>
    <w:rsid w:val="00F72BF8"/>
    <w:rsid w:val="00F76191"/>
    <w:rsid w:val="00F76807"/>
    <w:rsid w:val="00F807D3"/>
    <w:rsid w:val="00F92DAC"/>
    <w:rsid w:val="00FA1674"/>
    <w:rsid w:val="00FA575C"/>
    <w:rsid w:val="00FB07A3"/>
    <w:rsid w:val="00FC408B"/>
    <w:rsid w:val="00FC43A6"/>
    <w:rsid w:val="00FD0659"/>
    <w:rsid w:val="00FD6351"/>
    <w:rsid w:val="00FE4E9B"/>
    <w:rsid w:val="00FE78CF"/>
    <w:rsid w:val="00FF649F"/>
    <w:rsid w:val="01CE07D5"/>
    <w:rsid w:val="0274B106"/>
    <w:rsid w:val="02C28CBC"/>
    <w:rsid w:val="02CB0859"/>
    <w:rsid w:val="0381879A"/>
    <w:rsid w:val="053BE282"/>
    <w:rsid w:val="055A55E3"/>
    <w:rsid w:val="07A228B4"/>
    <w:rsid w:val="083BA767"/>
    <w:rsid w:val="08784214"/>
    <w:rsid w:val="0B8D18DD"/>
    <w:rsid w:val="0C4E8C6B"/>
    <w:rsid w:val="0EDDE0C5"/>
    <w:rsid w:val="0EFBD5A3"/>
    <w:rsid w:val="0F8570C5"/>
    <w:rsid w:val="0FDA073C"/>
    <w:rsid w:val="100CCC01"/>
    <w:rsid w:val="100F8CF5"/>
    <w:rsid w:val="1019A588"/>
    <w:rsid w:val="12FB151E"/>
    <w:rsid w:val="131461DD"/>
    <w:rsid w:val="14DFC92B"/>
    <w:rsid w:val="151608F6"/>
    <w:rsid w:val="152BFD41"/>
    <w:rsid w:val="1739C213"/>
    <w:rsid w:val="17B43F5B"/>
    <w:rsid w:val="1B72BE9F"/>
    <w:rsid w:val="1BB133D0"/>
    <w:rsid w:val="1C2A4C0F"/>
    <w:rsid w:val="1D5E906D"/>
    <w:rsid w:val="1D620C9D"/>
    <w:rsid w:val="1D688A04"/>
    <w:rsid w:val="1DA61203"/>
    <w:rsid w:val="1DB7A99B"/>
    <w:rsid w:val="1EC88BA3"/>
    <w:rsid w:val="1F3B0DF2"/>
    <w:rsid w:val="1F4B5F39"/>
    <w:rsid w:val="1F61ECD1"/>
    <w:rsid w:val="1FDE45D8"/>
    <w:rsid w:val="1FE7C782"/>
    <w:rsid w:val="1FEC4753"/>
    <w:rsid w:val="204CB198"/>
    <w:rsid w:val="208027A5"/>
    <w:rsid w:val="217D560D"/>
    <w:rsid w:val="22FCADC7"/>
    <w:rsid w:val="2480D610"/>
    <w:rsid w:val="263885E1"/>
    <w:rsid w:val="269C48C8"/>
    <w:rsid w:val="26E570A9"/>
    <w:rsid w:val="27429656"/>
    <w:rsid w:val="29BD6C99"/>
    <w:rsid w:val="29C0A22D"/>
    <w:rsid w:val="2AFB46D0"/>
    <w:rsid w:val="2B5070F0"/>
    <w:rsid w:val="2BDA1DF2"/>
    <w:rsid w:val="2BDBD05B"/>
    <w:rsid w:val="2E161C8F"/>
    <w:rsid w:val="2F7FFE21"/>
    <w:rsid w:val="2FB203F1"/>
    <w:rsid w:val="2FF2B6A5"/>
    <w:rsid w:val="303AEA86"/>
    <w:rsid w:val="30809251"/>
    <w:rsid w:val="30B7BEAF"/>
    <w:rsid w:val="317A517A"/>
    <w:rsid w:val="31EB1E17"/>
    <w:rsid w:val="32A8988C"/>
    <w:rsid w:val="332D1E64"/>
    <w:rsid w:val="33EF5F71"/>
    <w:rsid w:val="33F5DCD8"/>
    <w:rsid w:val="35D02243"/>
    <w:rsid w:val="37A06236"/>
    <w:rsid w:val="3A5EA0F5"/>
    <w:rsid w:val="3A7F6828"/>
    <w:rsid w:val="3B2D3EBF"/>
    <w:rsid w:val="3BA89C41"/>
    <w:rsid w:val="3BB9AF96"/>
    <w:rsid w:val="3BF04210"/>
    <w:rsid w:val="3BF8C1FA"/>
    <w:rsid w:val="3C289CEA"/>
    <w:rsid w:val="3DB708EA"/>
    <w:rsid w:val="40674A2A"/>
    <w:rsid w:val="4118B6B0"/>
    <w:rsid w:val="42508A7D"/>
    <w:rsid w:val="432AEF77"/>
    <w:rsid w:val="45CB8039"/>
    <w:rsid w:val="462351BE"/>
    <w:rsid w:val="47245D7C"/>
    <w:rsid w:val="490320FB"/>
    <w:rsid w:val="4A5965E1"/>
    <w:rsid w:val="4BB36F28"/>
    <w:rsid w:val="4BD45CD2"/>
    <w:rsid w:val="4BFD0019"/>
    <w:rsid w:val="4CE7F183"/>
    <w:rsid w:val="4DCAE27F"/>
    <w:rsid w:val="4E83C1E4"/>
    <w:rsid w:val="4F122262"/>
    <w:rsid w:val="51FCAA4E"/>
    <w:rsid w:val="52007721"/>
    <w:rsid w:val="535D1E74"/>
    <w:rsid w:val="5510C6F8"/>
    <w:rsid w:val="5695E566"/>
    <w:rsid w:val="56B3F4A6"/>
    <w:rsid w:val="5A9A294D"/>
    <w:rsid w:val="5B67672F"/>
    <w:rsid w:val="5C594612"/>
    <w:rsid w:val="5CC1B6F2"/>
    <w:rsid w:val="5CD7BA28"/>
    <w:rsid w:val="5CE82B23"/>
    <w:rsid w:val="5DCBD3D1"/>
    <w:rsid w:val="5E1F2BF2"/>
    <w:rsid w:val="5EFDB7DC"/>
    <w:rsid w:val="5FD1F851"/>
    <w:rsid w:val="603EBD8B"/>
    <w:rsid w:val="606320DF"/>
    <w:rsid w:val="62A21F32"/>
    <w:rsid w:val="6363150D"/>
    <w:rsid w:val="65369202"/>
    <w:rsid w:val="65412DF9"/>
    <w:rsid w:val="667862B7"/>
    <w:rsid w:val="66DA38CB"/>
    <w:rsid w:val="673DC135"/>
    <w:rsid w:val="677DDFFB"/>
    <w:rsid w:val="680E62CA"/>
    <w:rsid w:val="68A95339"/>
    <w:rsid w:val="68AE0736"/>
    <w:rsid w:val="68FF670E"/>
    <w:rsid w:val="69F4D05D"/>
    <w:rsid w:val="6A088B41"/>
    <w:rsid w:val="6A66EDDB"/>
    <w:rsid w:val="6AF56953"/>
    <w:rsid w:val="6D402C03"/>
    <w:rsid w:val="6DF0C70C"/>
    <w:rsid w:val="6E5DF9FA"/>
    <w:rsid w:val="6EDBFC64"/>
    <w:rsid w:val="6FBFAFC9"/>
    <w:rsid w:val="705EA468"/>
    <w:rsid w:val="70BCD9EA"/>
    <w:rsid w:val="70C1839E"/>
    <w:rsid w:val="72B41290"/>
    <w:rsid w:val="748C5BCB"/>
    <w:rsid w:val="751CA32A"/>
    <w:rsid w:val="753844AD"/>
    <w:rsid w:val="77802DA5"/>
    <w:rsid w:val="788C4414"/>
    <w:rsid w:val="7ABEFCB4"/>
    <w:rsid w:val="7B1EDA28"/>
    <w:rsid w:val="7CC4D25C"/>
    <w:rsid w:val="7D078722"/>
    <w:rsid w:val="7E02C581"/>
    <w:rsid w:val="7EF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E3E5C"/>
  <w15:docId w15:val="{43F98F00-5A9B-485B-9A69-45D20BE7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0BB9"/>
    <w:pPr>
      <w:pBdr>
        <w:bottom w:val="single" w:sz="24" w:space="1" w:color="357B73"/>
      </w:pBdr>
      <w:spacing w:before="240" w:after="240"/>
      <w:outlineLvl w:val="0"/>
    </w:pPr>
    <w:rPr>
      <w:rFonts w:ascii="Verdana Pro" w:eastAsia="DotumChe" w:hAnsi="Verdana Pro" w:cs="Calibri"/>
      <w:color w:val="357B73"/>
      <w:sz w:val="36"/>
      <w:szCs w:val="36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65A8"/>
    <w:pPr>
      <w:spacing w:before="240" w:after="240"/>
      <w:outlineLvl w:val="1"/>
    </w:pPr>
    <w:rPr>
      <w:rFonts w:ascii="Verdana Pro" w:eastAsia="DotumChe" w:hAnsi="Verdana Pro" w:cs="Calibri"/>
      <w:b/>
      <w:bCs/>
      <w:color w:val="357B73"/>
      <w:sz w:val="2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73169"/>
    <w:pPr>
      <w:spacing w:before="200"/>
      <w:outlineLvl w:val="2"/>
    </w:pPr>
    <w:rPr>
      <w:rFonts w:ascii="Verdana Pro" w:eastAsia="DotumChe" w:hAnsi="Verdana Pro" w:cs="Calibri"/>
      <w:b/>
      <w:bCs/>
      <w:caps/>
      <w:color w:val="357B73"/>
      <w:sz w:val="22"/>
      <w:szCs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2A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2AB1"/>
  </w:style>
  <w:style w:type="paragraph" w:styleId="Bunntekst">
    <w:name w:val="footer"/>
    <w:basedOn w:val="Normal"/>
    <w:link w:val="BunntekstTegn"/>
    <w:uiPriority w:val="99"/>
    <w:unhideWhenUsed/>
    <w:rsid w:val="009F2A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2AB1"/>
  </w:style>
  <w:style w:type="paragraph" w:customStyle="1" w:styleId="paragraph">
    <w:name w:val="paragraph"/>
    <w:basedOn w:val="Normal"/>
    <w:rsid w:val="00701CA8"/>
    <w:pPr>
      <w:spacing w:before="100" w:beforeAutospacing="1" w:after="100" w:afterAutospacing="1"/>
    </w:pPr>
    <w:rPr>
      <w:lang w:val="en-GB"/>
    </w:rPr>
  </w:style>
  <w:style w:type="character" w:customStyle="1" w:styleId="normaltextrun">
    <w:name w:val="normaltextrun"/>
    <w:basedOn w:val="Standardskriftforavsnitt"/>
    <w:rsid w:val="00701CA8"/>
  </w:style>
  <w:style w:type="character" w:customStyle="1" w:styleId="eop">
    <w:name w:val="eop"/>
    <w:basedOn w:val="Standardskriftforavsnitt"/>
    <w:rsid w:val="00701CA8"/>
  </w:style>
  <w:style w:type="character" w:styleId="Plassholdertekst">
    <w:name w:val="Placeholder Text"/>
    <w:basedOn w:val="Standardskriftforavsnitt"/>
    <w:uiPriority w:val="99"/>
    <w:semiHidden/>
    <w:rsid w:val="00A8573E"/>
    <w:rPr>
      <w:color w:val="808080"/>
    </w:rPr>
  </w:style>
  <w:style w:type="table" w:styleId="Tabellrutenett">
    <w:name w:val="Table Grid"/>
    <w:basedOn w:val="Vanligtabell"/>
    <w:uiPriority w:val="59"/>
    <w:rsid w:val="00C9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9426C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59426C"/>
    <w:rPr>
      <w:color w:val="605E5C"/>
      <w:shd w:val="clear" w:color="auto" w:fill="E1DFDD"/>
    </w:rPr>
  </w:style>
  <w:style w:type="paragraph" w:customStyle="1" w:styleId="Default">
    <w:name w:val="Default"/>
    <w:rsid w:val="009D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VSBullet">
    <w:name w:val="VS Bullet"/>
    <w:basedOn w:val="Normal"/>
    <w:rsid w:val="00201927"/>
    <w:pPr>
      <w:overflowPunct w:val="0"/>
      <w:autoSpaceDE w:val="0"/>
      <w:autoSpaceDN w:val="0"/>
      <w:adjustRightInd w:val="0"/>
      <w:spacing w:after="60" w:line="240" w:lineRule="exact"/>
      <w:ind w:left="562" w:hanging="202"/>
    </w:pPr>
    <w:rPr>
      <w:color w:val="000000"/>
      <w:szCs w:val="20"/>
      <w:lang w:val="en-US"/>
    </w:rPr>
  </w:style>
  <w:style w:type="paragraph" w:customStyle="1" w:styleId="VSParaBullet">
    <w:name w:val="VS Para Bullet"/>
    <w:basedOn w:val="Normal"/>
    <w:rsid w:val="00255BBF"/>
    <w:pPr>
      <w:overflowPunct w:val="0"/>
      <w:autoSpaceDE w:val="0"/>
      <w:autoSpaceDN w:val="0"/>
      <w:adjustRightInd w:val="0"/>
      <w:spacing w:after="120" w:line="240" w:lineRule="exact"/>
      <w:ind w:left="274" w:hanging="202"/>
    </w:pPr>
    <w:rPr>
      <w:color w:val="000000"/>
      <w:szCs w:val="20"/>
      <w:lang w:val="en-US"/>
    </w:rPr>
  </w:style>
  <w:style w:type="paragraph" w:customStyle="1" w:styleId="VSHeadingPrime">
    <w:name w:val="VS Heading Prime"/>
    <w:basedOn w:val="Normal"/>
    <w:rsid w:val="00255BBF"/>
    <w:pPr>
      <w:keepNext/>
      <w:tabs>
        <w:tab w:val="left" w:pos="360"/>
      </w:tabs>
      <w:overflowPunct w:val="0"/>
      <w:autoSpaceDE w:val="0"/>
      <w:autoSpaceDN w:val="0"/>
      <w:adjustRightInd w:val="0"/>
      <w:spacing w:line="280" w:lineRule="exact"/>
    </w:pPr>
    <w:rPr>
      <w:rFonts w:ascii="Arial" w:hAnsi="Arial"/>
      <w:b/>
      <w:caps/>
      <w:color w:val="000000"/>
      <w:sz w:val="28"/>
      <w:szCs w:val="20"/>
      <w:lang w:val="en-US"/>
    </w:rPr>
  </w:style>
  <w:style w:type="paragraph" w:customStyle="1" w:styleId="VSTableText">
    <w:name w:val="VS Table Text"/>
    <w:basedOn w:val="Normal"/>
    <w:rsid w:val="00255BBF"/>
    <w:pPr>
      <w:keepNext/>
      <w:keepLines/>
      <w:widowControl w:val="0"/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sz w:val="20"/>
      <w:szCs w:val="20"/>
      <w:lang w:val="en-US"/>
    </w:rPr>
  </w:style>
  <w:style w:type="paragraph" w:customStyle="1" w:styleId="VSParagraphText">
    <w:name w:val="VS Paragraph Text"/>
    <w:basedOn w:val="Normal"/>
    <w:rsid w:val="00255BBF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</w:pPr>
    <w:rPr>
      <w:color w:val="000000"/>
      <w:szCs w:val="20"/>
      <w:lang w:val="en-US"/>
    </w:rPr>
  </w:style>
  <w:style w:type="paragraph" w:customStyle="1" w:styleId="VSSubHead1st">
    <w:name w:val="VS Sub Head 1st"/>
    <w:basedOn w:val="Normal"/>
    <w:rsid w:val="00255BBF"/>
    <w:pPr>
      <w:widowControl w:val="0"/>
      <w:overflowPunct w:val="0"/>
      <w:autoSpaceDE w:val="0"/>
      <w:autoSpaceDN w:val="0"/>
      <w:adjustRightInd w:val="0"/>
      <w:spacing w:before="60" w:after="120" w:line="200" w:lineRule="exact"/>
      <w:ind w:left="360" w:hanging="360"/>
    </w:pPr>
    <w:rPr>
      <w:rFonts w:ascii="Arial" w:hAnsi="Arial"/>
      <w:b/>
      <w:sz w:val="20"/>
      <w:szCs w:val="20"/>
      <w:lang w:val="en-US"/>
    </w:rPr>
  </w:style>
  <w:style w:type="paragraph" w:customStyle="1" w:styleId="SPACER">
    <w:name w:val="SPACER"/>
    <w:basedOn w:val="Normal"/>
    <w:rsid w:val="00255BBF"/>
    <w:pPr>
      <w:overflowPunct w:val="0"/>
      <w:autoSpaceDE w:val="0"/>
      <w:autoSpaceDN w:val="0"/>
      <w:adjustRightInd w:val="0"/>
      <w:spacing w:line="240" w:lineRule="exact"/>
    </w:pPr>
    <w:rPr>
      <w:szCs w:val="20"/>
      <w:lang w:val="en-US"/>
    </w:rPr>
  </w:style>
  <w:style w:type="paragraph" w:customStyle="1" w:styleId="VSMaterials">
    <w:name w:val="VS Materials"/>
    <w:basedOn w:val="Normal"/>
    <w:rsid w:val="00255BBF"/>
    <w:pPr>
      <w:overflowPunct w:val="0"/>
      <w:autoSpaceDE w:val="0"/>
      <w:autoSpaceDN w:val="0"/>
      <w:adjustRightInd w:val="0"/>
      <w:spacing w:line="240" w:lineRule="exact"/>
      <w:ind w:left="547"/>
      <w:jc w:val="both"/>
    </w:pPr>
    <w:rPr>
      <w:rFonts w:ascii="Times" w:hAnsi="Times"/>
      <w:szCs w:val="20"/>
      <w:lang w:val="en-US"/>
    </w:rPr>
  </w:style>
  <w:style w:type="paragraph" w:customStyle="1" w:styleId="SMSPACER">
    <w:name w:val="SM SPACER"/>
    <w:basedOn w:val="Normal"/>
    <w:rsid w:val="00255BBF"/>
    <w:pPr>
      <w:widowControl w:val="0"/>
      <w:overflowPunct w:val="0"/>
      <w:autoSpaceDE w:val="0"/>
      <w:autoSpaceDN w:val="0"/>
      <w:adjustRightInd w:val="0"/>
      <w:spacing w:line="120" w:lineRule="exact"/>
    </w:pPr>
    <w:rPr>
      <w:szCs w:val="20"/>
      <w:lang w:val="en-US"/>
    </w:rPr>
  </w:style>
  <w:style w:type="character" w:customStyle="1" w:styleId="VSSubHead1stCharCharChar">
    <w:name w:val="VS Sub Head 1st Char Char Char"/>
    <w:link w:val="VSSubHead1stCharChar"/>
    <w:locked/>
    <w:rsid w:val="00240A15"/>
    <w:rPr>
      <w:rFonts w:ascii="Arial" w:hAnsi="Arial" w:cs="Arial"/>
      <w:b/>
      <w:lang w:val="en-US"/>
    </w:rPr>
  </w:style>
  <w:style w:type="paragraph" w:customStyle="1" w:styleId="VSSubHead1stCharChar">
    <w:name w:val="VS Sub Head 1st Char Char"/>
    <w:basedOn w:val="Normal"/>
    <w:link w:val="VSSubHead1stCharCharChar"/>
    <w:rsid w:val="00240A15"/>
    <w:pPr>
      <w:overflowPunct w:val="0"/>
      <w:autoSpaceDE w:val="0"/>
      <w:autoSpaceDN w:val="0"/>
      <w:adjustRightInd w:val="0"/>
      <w:spacing w:before="60" w:after="120" w:line="200" w:lineRule="exact"/>
      <w:ind w:left="360" w:hanging="360"/>
    </w:pPr>
    <w:rPr>
      <w:rFonts w:ascii="Arial" w:hAnsi="Arial" w:cs="Arial"/>
      <w:b/>
      <w:lang w:val="en-US"/>
    </w:rPr>
  </w:style>
  <w:style w:type="paragraph" w:customStyle="1" w:styleId="VSStepstext1-9">
    <w:name w:val="VS Steps text 1-9"/>
    <w:basedOn w:val="VSParagraphText"/>
    <w:rsid w:val="00240A15"/>
    <w:pPr>
      <w:spacing w:line="240" w:lineRule="exact"/>
      <w:ind w:left="360" w:hanging="360"/>
    </w:pPr>
  </w:style>
  <w:style w:type="paragraph" w:customStyle="1" w:styleId="VStextwbullets">
    <w:name w:val="VS text w/bullets"/>
    <w:basedOn w:val="VSParagraphText"/>
    <w:rsid w:val="00240A15"/>
    <w:pPr>
      <w:spacing w:after="140" w:line="240" w:lineRule="exact"/>
    </w:pPr>
  </w:style>
  <w:style w:type="table" w:customStyle="1" w:styleId="TableGrid1">
    <w:name w:val="Table Grid1"/>
    <w:basedOn w:val="Vanligtabell"/>
    <w:next w:val="Tabellrutenett"/>
    <w:uiPriority w:val="59"/>
    <w:rsid w:val="001C59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99"/>
    <w:qFormat/>
    <w:rsid w:val="001C591D"/>
    <w:pPr>
      <w:ind w:left="720"/>
      <w:contextualSpacing/>
      <w:jc w:val="both"/>
    </w:pPr>
    <w:rPr>
      <w:rFonts w:asciiTheme="majorHAnsi" w:hAnsiTheme="majorHAnsi"/>
    </w:rPr>
  </w:style>
  <w:style w:type="table" w:customStyle="1" w:styleId="TableGrid2">
    <w:name w:val="Table Grid2"/>
    <w:basedOn w:val="Vanligtabell"/>
    <w:next w:val="Tabellrutenett"/>
    <w:uiPriority w:val="59"/>
    <w:rsid w:val="004B128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orhndsformatert">
    <w:name w:val="HTML Preformatted"/>
    <w:basedOn w:val="Normal"/>
    <w:link w:val="HTML-forhndsformatertTegn"/>
    <w:uiPriority w:val="99"/>
    <w:unhideWhenUsed/>
    <w:rsid w:val="00DF3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F376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Standardskriftforavsnitt"/>
    <w:rsid w:val="00DF3768"/>
  </w:style>
  <w:style w:type="paragraph" w:styleId="Bobletekst">
    <w:name w:val="Balloon Text"/>
    <w:basedOn w:val="Normal"/>
    <w:link w:val="BobletekstTegn"/>
    <w:uiPriority w:val="99"/>
    <w:semiHidden/>
    <w:unhideWhenUsed/>
    <w:rsid w:val="00F72B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2BF8"/>
    <w:rPr>
      <w:rFonts w:ascii="Segoe UI" w:eastAsia="Times New Roman" w:hAnsi="Segoe UI" w:cs="Segoe UI"/>
      <w:sz w:val="18"/>
      <w:szCs w:val="18"/>
      <w:lang w:eastAsia="en-GB"/>
    </w:rPr>
  </w:style>
  <w:style w:type="character" w:styleId="Ulstomtale">
    <w:name w:val="Unresolved Mention"/>
    <w:basedOn w:val="Standardskriftforavsnitt"/>
    <w:uiPriority w:val="99"/>
    <w:semiHidden/>
    <w:unhideWhenUsed/>
    <w:rsid w:val="00AF6515"/>
    <w:rPr>
      <w:color w:val="605E5C"/>
      <w:shd w:val="clear" w:color="auto" w:fill="E1DFDD"/>
    </w:rPr>
  </w:style>
  <w:style w:type="paragraph" w:customStyle="1" w:styleId="tab-inactive">
    <w:name w:val="tab-inactive"/>
    <w:basedOn w:val="Normal"/>
    <w:rsid w:val="00F76807"/>
    <w:pPr>
      <w:spacing w:before="100" w:beforeAutospacing="1" w:after="100" w:afterAutospacing="1"/>
    </w:pPr>
  </w:style>
  <w:style w:type="character" w:styleId="Utheving">
    <w:name w:val="Emphasis"/>
    <w:basedOn w:val="Standardskriftforavsnitt"/>
    <w:uiPriority w:val="20"/>
    <w:qFormat/>
    <w:rsid w:val="000C08AC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0BB9"/>
    <w:rPr>
      <w:rFonts w:ascii="Verdana Pro" w:eastAsia="DotumChe" w:hAnsi="Verdana Pro" w:cs="Calibri"/>
      <w:color w:val="357B73"/>
      <w:sz w:val="36"/>
      <w:szCs w:val="36"/>
      <w:lang w:val="en-GB" w:eastAsia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965A8"/>
    <w:rPr>
      <w:rFonts w:ascii="Verdana Pro" w:eastAsia="DotumChe" w:hAnsi="Verdana Pro" w:cs="Calibri"/>
      <w:b/>
      <w:bCs/>
      <w:color w:val="357B73"/>
      <w:sz w:val="26"/>
      <w:szCs w:val="26"/>
      <w:lang w:val="en-GB" w:eastAsia="en-GB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73169"/>
    <w:rPr>
      <w:rFonts w:ascii="Verdana Pro" w:eastAsia="DotumChe" w:hAnsi="Verdana Pro" w:cs="Calibri"/>
      <w:b/>
      <w:bCs/>
      <w:caps/>
      <w:color w:val="357B73"/>
      <w:lang w:val="en-GB" w:eastAsia="en-GB"/>
    </w:rPr>
  </w:style>
  <w:style w:type="paragraph" w:styleId="Revisjon">
    <w:name w:val="Revision"/>
    <w:hidden/>
    <w:uiPriority w:val="99"/>
    <w:semiHidden/>
    <w:rsid w:val="006F6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80/1751825100362337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duca.fc.up.pt/documentosQV/EV/Construction%20of%20Green%20Star_6_points_GSAI.xls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5" ma:contentTypeDescription="Create a new document." ma:contentTypeScope="" ma:versionID="c5483a659eb669fa2903e070b4d8f776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bfc9f4dadd00fa0d00e05ae3ba5cf6f6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242F0-204A-434B-9FF0-B236A8D9B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BCF5B-36F5-4F2E-BFF5-576320E56AEA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3.xml><?xml version="1.0" encoding="utf-8"?>
<ds:datastoreItem xmlns:ds="http://schemas.openxmlformats.org/officeDocument/2006/customXml" ds:itemID="{96788986-A873-4C04-8A9D-C7498702D1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6F66C9-C8CE-4803-9858-507C31AAD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1259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2023-02-14T07:57:00Z</dcterms:created>
  <dcterms:modified xsi:type="dcterms:W3CDTF">2023-04-24T12:05:00Z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