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5906" w:rsidR="005C6DE7" w:rsidP="005C6DE7" w:rsidRDefault="005C6DE7" w14:paraId="285E4804" w14:textId="77777777">
      <w:pPr>
        <w:rPr>
          <w:color w:val="FF0000"/>
        </w:rPr>
      </w:pPr>
      <w:bookmarkStart w:name="_heading=h.6ts8ixhcfkle" w:colFirst="0" w:colLast="0" w:id="0"/>
      <w:bookmarkStart w:name="_Toc213837912" w:id="1"/>
      <w:bookmarkEnd w:id="0"/>
      <w:r w:rsidRPr="00D35906">
        <w:rPr>
          <w:color w:val="FF0000"/>
        </w:rPr>
        <w:t xml:space="preserve">Obs! Det här är en mall. Ta bort den röda texten i din färdiga version. Innan du använder den här mallen måste den anpassas till de lokala förhållandena på skolan. </w:t>
      </w:r>
    </w:p>
    <w:p w:rsidR="00033610" w:rsidRDefault="00383A6E" w14:paraId="2F2B09F6" w14:textId="7509193B">
      <w:pPr>
        <w:pStyle w:val="Rubrik1"/>
      </w:pPr>
      <w:r w:rsidR="00383A6E">
        <w:rPr/>
        <w:t>Rutin</w:t>
      </w:r>
      <w:r w:rsidR="00B42330">
        <w:rPr/>
        <w:t>er</w:t>
      </w:r>
      <w:r w:rsidR="00383A6E">
        <w:rPr/>
        <w:t xml:space="preserve"> för </w:t>
      </w:r>
      <w:bookmarkEnd w:id="1"/>
      <w:r w:rsidR="005C6DE7">
        <w:rPr/>
        <w:t>utfasning av kemikalier</w:t>
      </w:r>
    </w:p>
    <w:p w:rsidR="3E3D8F22" w:rsidP="7A909D11" w:rsidRDefault="3E3D8F22" w14:paraId="3A4C88F4" w14:textId="497E6DDB">
      <w:pPr>
        <w:rPr>
          <w:rFonts w:ascii="Calibri" w:hAnsi="Calibri" w:eastAsia="Calibri" w:cs="Calibri"/>
          <w:noProof w:val="0"/>
          <w:sz w:val="22"/>
          <w:szCs w:val="22"/>
          <w:lang w:val="sv-SE"/>
        </w:rPr>
      </w:pPr>
      <w:r w:rsidRPr="7A909D11" w:rsidR="3E3D8F22">
        <w:rPr>
          <w:rFonts w:ascii="Calibri" w:hAnsi="Calibri" w:eastAsia="Calibri" w:cs="Calibri"/>
          <w:b w:val="0"/>
          <w:bCs w:val="0"/>
          <w:i w:val="0"/>
          <w:iCs w:val="0"/>
          <w:caps w:val="0"/>
          <w:smallCaps w:val="0"/>
          <w:noProof w:val="0"/>
          <w:color w:val="000000" w:themeColor="text1" w:themeTint="FF" w:themeShade="FF"/>
          <w:sz w:val="22"/>
          <w:szCs w:val="22"/>
          <w:lang w:val="sv-SE"/>
        </w:rPr>
        <w:t>Senast uppdaterad: 2026-02-19</w:t>
      </w:r>
    </w:p>
    <w:p w:rsidRPr="00AC4DD1" w:rsidR="00AC4DD1" w:rsidRDefault="00AC4DD1" w14:paraId="6FC3AF0B" w14:textId="624774DC">
      <w:pPr>
        <w:pStyle w:val="Rubrik2"/>
        <w:rPr>
          <w:rFonts w:ascii="Calibri" w:hAnsi="Calibri" w:eastAsia="Calibri" w:cs="Calibri"/>
          <w:i/>
          <w:iCs/>
          <w:color w:val="auto"/>
          <w:sz w:val="22"/>
          <w:szCs w:val="22"/>
        </w:rPr>
      </w:pPr>
      <w:bookmarkStart w:name="_heading=h.41qx99hhq86y" w:colFirst="0" w:colLast="0" w:id="2"/>
      <w:bookmarkStart w:name="_Toc213837913" w:id="3"/>
      <w:bookmarkEnd w:id="2"/>
      <w:r w:rsidRPr="00AC4DD1">
        <w:rPr>
          <w:rFonts w:ascii="Calibri" w:hAnsi="Calibri" w:eastAsia="Calibri" w:cs="Calibri"/>
          <w:i/>
          <w:iCs/>
          <w:color w:val="auto"/>
          <w:sz w:val="22"/>
          <w:szCs w:val="22"/>
        </w:rPr>
        <w:t xml:space="preserve">Detta dokument granskades senast </w:t>
      </w:r>
      <w:r w:rsidRPr="00AC4DD1">
        <w:rPr>
          <w:rFonts w:ascii="Calibri" w:hAnsi="Calibri" w:eastAsia="Calibri" w:cs="Calibri"/>
          <w:i/>
          <w:iCs/>
          <w:color w:val="FF0000"/>
          <w:sz w:val="22"/>
          <w:szCs w:val="22"/>
        </w:rPr>
        <w:t xml:space="preserve">[datum] </w:t>
      </w:r>
      <w:r w:rsidRPr="00AC4DD1">
        <w:rPr>
          <w:rFonts w:ascii="Calibri" w:hAnsi="Calibri" w:eastAsia="Calibri" w:cs="Calibri"/>
          <w:i/>
          <w:iCs/>
          <w:color w:val="auto"/>
          <w:sz w:val="22"/>
          <w:szCs w:val="22"/>
        </w:rPr>
        <w:t xml:space="preserve">av </w:t>
      </w:r>
      <w:r w:rsidRPr="00AC4DD1">
        <w:rPr>
          <w:rFonts w:ascii="Calibri" w:hAnsi="Calibri" w:eastAsia="Calibri" w:cs="Calibri"/>
          <w:i/>
          <w:iCs/>
          <w:color w:val="FF0000"/>
          <w:sz w:val="22"/>
          <w:szCs w:val="22"/>
        </w:rPr>
        <w:t>[namn]</w:t>
      </w:r>
      <w:bookmarkEnd w:id="3"/>
    </w:p>
    <w:p w:rsidRPr="00951082" w:rsidR="005C6DE7" w:rsidP="005C6DE7" w:rsidRDefault="005C6DE7" w14:paraId="76A3C10D" w14:textId="0FA9C856">
      <w:r>
        <w:t xml:space="preserve">En del av kemikalierna har </w:t>
      </w:r>
      <w:r>
        <w:t xml:space="preserve">särskilt </w:t>
      </w:r>
      <w:r>
        <w:t>farliga egenskaper.</w:t>
      </w:r>
      <w:r>
        <w:t xml:space="preserve"> Om de inte är nödvändiga i undervisningen kan de destrueras. Om de </w:t>
      </w:r>
      <w:r w:rsidR="00823A16">
        <w:t>behövs av didaktiska skäl, kan man motivera varför i nedanstående tabell, som uppdateras regelbundet, exempelvis en gång om året.</w:t>
      </w:r>
    </w:p>
    <w:tbl>
      <w:tblPr>
        <w:tblStyle w:val="Tabellrutnt"/>
        <w:tblW w:w="5000" w:type="pct"/>
        <w:tblLook w:val="04A0" w:firstRow="1" w:lastRow="0" w:firstColumn="1" w:lastColumn="0" w:noHBand="0" w:noVBand="1"/>
      </w:tblPr>
      <w:tblGrid>
        <w:gridCol w:w="1540"/>
        <w:gridCol w:w="1289"/>
        <w:gridCol w:w="6233"/>
      </w:tblGrid>
      <w:tr w:rsidR="00823A16" w:rsidTr="00823A16" w14:paraId="3292CF6F" w14:textId="77777777">
        <w:trPr>
          <w:trHeight w:val="353"/>
        </w:trPr>
        <w:tc>
          <w:tcPr>
            <w:tcW w:w="850" w:type="pct"/>
          </w:tcPr>
          <w:p w:rsidRPr="00823A16" w:rsidR="00823A16" w:rsidP="00823A16" w:rsidRDefault="00823A16" w14:paraId="03321074" w14:textId="69A07BAD">
            <w:pPr>
              <w:jc w:val="center"/>
              <w:rPr>
                <w:b/>
                <w:bCs/>
              </w:rPr>
            </w:pPr>
            <w:r w:rsidRPr="00823A16">
              <w:rPr>
                <w:b/>
                <w:bCs/>
              </w:rPr>
              <w:t>K</w:t>
            </w:r>
            <w:r>
              <w:rPr>
                <w:b/>
                <w:bCs/>
              </w:rPr>
              <w:t>EMIKALIE</w:t>
            </w:r>
          </w:p>
        </w:tc>
        <w:tc>
          <w:tcPr>
            <w:tcW w:w="4150" w:type="pct"/>
            <w:gridSpan w:val="2"/>
          </w:tcPr>
          <w:p w:rsidRPr="00823A16" w:rsidR="00823A16" w:rsidP="00823A16" w:rsidRDefault="00823A16" w14:paraId="54AAABEF" w14:textId="4AD6A4A8">
            <w:pPr>
              <w:jc w:val="center"/>
              <w:rPr>
                <w:b/>
                <w:bCs/>
              </w:rPr>
            </w:pPr>
            <w:r>
              <w:rPr>
                <w:b/>
                <w:bCs/>
              </w:rPr>
              <w:t>MOTIVERING</w:t>
            </w:r>
          </w:p>
        </w:tc>
      </w:tr>
      <w:tr w:rsidR="005C6DE7" w:rsidTr="00823A16" w14:paraId="6EF01160" w14:textId="77777777">
        <w:trPr>
          <w:trHeight w:val="765"/>
        </w:trPr>
        <w:tc>
          <w:tcPr>
            <w:tcW w:w="850" w:type="pct"/>
            <w:vMerge w:val="restart"/>
            <w:shd w:val="clear" w:color="auto" w:fill="F2F2F2" w:themeFill="background1" w:themeFillShade="F2"/>
          </w:tcPr>
          <w:p w:rsidR="005C6DE7" w:rsidP="00285446" w:rsidRDefault="005C6DE7" w14:paraId="452CA679" w14:textId="77777777"/>
          <w:p w:rsidR="005C6DE7" w:rsidP="00285446" w:rsidRDefault="005C6DE7" w14:paraId="5CFB3EEE" w14:textId="77777777"/>
          <w:p w:rsidR="005C6DE7" w:rsidP="00285446" w:rsidRDefault="005C6DE7" w14:paraId="2DAA1B89" w14:textId="77777777"/>
          <w:p w:rsidR="005C6DE7" w:rsidP="00285446" w:rsidRDefault="005C6DE7" w14:paraId="71EF1FE6" w14:textId="370D8FC9">
            <w:r>
              <w:t xml:space="preserve">Kopparsulfat </w:t>
            </w:r>
            <w:r>
              <w:t>(&lt;3</w:t>
            </w:r>
            <w:r>
              <w:t xml:space="preserve"> liter 1 M)</w:t>
            </w:r>
          </w:p>
        </w:tc>
        <w:tc>
          <w:tcPr>
            <w:tcW w:w="711" w:type="pct"/>
            <w:shd w:val="clear" w:color="auto" w:fill="F2F2F2" w:themeFill="background1" w:themeFillShade="F2"/>
          </w:tcPr>
          <w:p w:rsidRPr="00823A16" w:rsidR="005C6DE7" w:rsidP="00823A16" w:rsidRDefault="005C6DE7" w14:paraId="7DA79F2E" w14:textId="77777777">
            <w:r w:rsidRPr="00823A16">
              <w:t>Användning</w:t>
            </w:r>
          </w:p>
        </w:tc>
        <w:tc>
          <w:tcPr>
            <w:tcW w:w="3439" w:type="pct"/>
            <w:shd w:val="clear" w:color="auto" w:fill="F2F2F2" w:themeFill="background1" w:themeFillShade="F2"/>
          </w:tcPr>
          <w:p w:rsidR="005C6DE7" w:rsidP="00285446" w:rsidRDefault="005C6DE7" w14:paraId="2292A5D1" w14:textId="77777777">
            <w:r>
              <w:t>Demonstrationer och laborationer som exempelvis vätskors ledningsförmåga, undersökning av miljöfarliga oorganiska salter samt jämförelser mellan molekylföreningar och jonföreningar.</w:t>
            </w:r>
          </w:p>
        </w:tc>
      </w:tr>
      <w:tr w:rsidR="005C6DE7" w:rsidTr="00823A16" w14:paraId="157B9A69" w14:textId="77777777">
        <w:tc>
          <w:tcPr>
            <w:tcW w:w="850" w:type="pct"/>
            <w:vMerge/>
            <w:shd w:val="clear" w:color="auto" w:fill="F2F2F2" w:themeFill="background1" w:themeFillShade="F2"/>
          </w:tcPr>
          <w:p w:rsidR="005C6DE7" w:rsidP="00285446" w:rsidRDefault="005C6DE7" w14:paraId="0AD77089" w14:textId="77777777"/>
        </w:tc>
        <w:tc>
          <w:tcPr>
            <w:tcW w:w="711" w:type="pct"/>
            <w:shd w:val="clear" w:color="auto" w:fill="F2F2F2" w:themeFill="background1" w:themeFillShade="F2"/>
          </w:tcPr>
          <w:p w:rsidRPr="00823A16" w:rsidR="005C6DE7" w:rsidP="00823A16" w:rsidRDefault="005C6DE7" w14:paraId="0604F78A" w14:textId="4EB46472">
            <w:r w:rsidRPr="00823A16">
              <w:t>Risker</w:t>
            </w:r>
          </w:p>
        </w:tc>
        <w:tc>
          <w:tcPr>
            <w:tcW w:w="3439" w:type="pct"/>
            <w:shd w:val="clear" w:color="auto" w:fill="F2F2F2" w:themeFill="background1" w:themeFillShade="F2"/>
          </w:tcPr>
          <w:p w:rsidR="005C6DE7" w:rsidP="00285446" w:rsidRDefault="005C6DE7" w14:paraId="07990C5A" w14:textId="77777777">
            <w:r>
              <w:t>Låg risk vid användning. Lösningar tillreds av ansvarig lärare. Elever använder endast färdiga lösningar. Låg risk vid avfallshantering. Avfall omhändertas som miljöfarlig oorganisk saltlösning. Sammantaget låg risk för exponering samt spridning i miljön.</w:t>
            </w:r>
          </w:p>
        </w:tc>
      </w:tr>
      <w:tr w:rsidR="005C6DE7" w:rsidTr="00823A16" w14:paraId="06774ABC" w14:textId="77777777">
        <w:trPr>
          <w:trHeight w:val="357"/>
        </w:trPr>
        <w:tc>
          <w:tcPr>
            <w:tcW w:w="850" w:type="pct"/>
            <w:vMerge/>
            <w:shd w:val="clear" w:color="auto" w:fill="F2F2F2" w:themeFill="background1" w:themeFillShade="F2"/>
          </w:tcPr>
          <w:p w:rsidR="005C6DE7" w:rsidP="00285446" w:rsidRDefault="005C6DE7" w14:paraId="41DF6D16" w14:textId="77777777"/>
        </w:tc>
        <w:tc>
          <w:tcPr>
            <w:tcW w:w="711" w:type="pct"/>
            <w:shd w:val="clear" w:color="auto" w:fill="F2F2F2" w:themeFill="background1" w:themeFillShade="F2"/>
          </w:tcPr>
          <w:p w:rsidRPr="00823A16" w:rsidR="005C6DE7" w:rsidP="00823A16" w:rsidRDefault="005C6DE7" w14:paraId="3368AEA6" w14:textId="77777777">
            <w:r w:rsidRPr="00823A16">
              <w:t>Alternativ</w:t>
            </w:r>
          </w:p>
        </w:tc>
        <w:tc>
          <w:tcPr>
            <w:tcW w:w="3439" w:type="pct"/>
            <w:shd w:val="clear" w:color="auto" w:fill="F2F2F2" w:themeFill="background1" w:themeFillShade="F2"/>
          </w:tcPr>
          <w:p w:rsidR="005C6DE7" w:rsidP="00285446" w:rsidRDefault="005C6DE7" w14:paraId="5200DEFC" w14:textId="77777777">
            <w:r>
              <w:t>Fullgott alternativ existerar inte i nuläget.</w:t>
            </w:r>
          </w:p>
        </w:tc>
      </w:tr>
      <w:tr w:rsidR="005C6DE7" w:rsidTr="00823A16" w14:paraId="534199AF" w14:textId="77777777">
        <w:trPr>
          <w:trHeight w:val="420"/>
        </w:trPr>
        <w:tc>
          <w:tcPr>
            <w:tcW w:w="850" w:type="pct"/>
            <w:vMerge/>
            <w:shd w:val="clear" w:color="auto" w:fill="F2F2F2" w:themeFill="background1" w:themeFillShade="F2"/>
          </w:tcPr>
          <w:p w:rsidR="005C6DE7" w:rsidP="00285446" w:rsidRDefault="005C6DE7" w14:paraId="297AB1F7" w14:textId="77777777"/>
        </w:tc>
        <w:tc>
          <w:tcPr>
            <w:tcW w:w="711" w:type="pct"/>
            <w:shd w:val="clear" w:color="auto" w:fill="F2F2F2" w:themeFill="background1" w:themeFillShade="F2"/>
          </w:tcPr>
          <w:p w:rsidRPr="00823A16" w:rsidR="005C6DE7" w:rsidP="00823A16" w:rsidRDefault="005C6DE7" w14:paraId="630A15E3" w14:textId="77777777">
            <w:r w:rsidRPr="00823A16">
              <w:t>Utfasning</w:t>
            </w:r>
          </w:p>
        </w:tc>
        <w:tc>
          <w:tcPr>
            <w:tcW w:w="3439" w:type="pct"/>
            <w:shd w:val="clear" w:color="auto" w:fill="F2F2F2" w:themeFill="background1" w:themeFillShade="F2"/>
          </w:tcPr>
          <w:p w:rsidR="005C6DE7" w:rsidP="00285446" w:rsidRDefault="005C6DE7" w14:paraId="14F69868" w14:textId="77777777">
            <w:r>
              <w:t>Kommer att ske då fullgott alternativ finns tillgängligt.</w:t>
            </w:r>
          </w:p>
        </w:tc>
      </w:tr>
      <w:tr w:rsidR="00823A16" w:rsidTr="00823A16" w14:paraId="795993A2" w14:textId="77777777">
        <w:trPr>
          <w:trHeight w:val="420"/>
        </w:trPr>
        <w:tc>
          <w:tcPr>
            <w:tcW w:w="850" w:type="pct"/>
            <w:vMerge w:val="restart"/>
          </w:tcPr>
          <w:p w:rsidR="00823A16" w:rsidP="00823A16" w:rsidRDefault="00823A16" w14:paraId="4A80650D" w14:textId="77777777"/>
          <w:p w:rsidR="00823A16" w:rsidP="00823A16" w:rsidRDefault="00823A16" w14:paraId="3AB190AB" w14:textId="77777777"/>
          <w:p w:rsidR="00823A16" w:rsidP="00823A16" w:rsidRDefault="00823A16" w14:paraId="4907CE02" w14:textId="77777777"/>
          <w:p w:rsidR="00823A16" w:rsidP="00823A16" w:rsidRDefault="00823A16" w14:paraId="34326335" w14:textId="369F4973"/>
        </w:tc>
        <w:tc>
          <w:tcPr>
            <w:tcW w:w="711" w:type="pct"/>
          </w:tcPr>
          <w:p w:rsidRPr="00823A16" w:rsidR="00823A16" w:rsidP="00823A16" w:rsidRDefault="00823A16" w14:paraId="0C14B9EE" w14:textId="2C71131F">
            <w:r w:rsidRPr="00823A16">
              <w:t>Användning</w:t>
            </w:r>
          </w:p>
        </w:tc>
        <w:tc>
          <w:tcPr>
            <w:tcW w:w="3439" w:type="pct"/>
          </w:tcPr>
          <w:p w:rsidR="00823A16" w:rsidP="00823A16" w:rsidRDefault="00823A16" w14:paraId="122D927D" w14:textId="17D19D2B"/>
        </w:tc>
      </w:tr>
      <w:tr w:rsidR="00823A16" w:rsidTr="00823A16" w14:paraId="3E7148F0" w14:textId="77777777">
        <w:trPr>
          <w:trHeight w:val="420"/>
        </w:trPr>
        <w:tc>
          <w:tcPr>
            <w:tcW w:w="850" w:type="pct"/>
            <w:vMerge/>
          </w:tcPr>
          <w:p w:rsidR="00823A16" w:rsidP="00823A16" w:rsidRDefault="00823A16" w14:paraId="7535226E" w14:textId="77777777"/>
        </w:tc>
        <w:tc>
          <w:tcPr>
            <w:tcW w:w="711" w:type="pct"/>
          </w:tcPr>
          <w:p w:rsidRPr="00823A16" w:rsidR="00823A16" w:rsidP="00823A16" w:rsidRDefault="00823A16" w14:paraId="1276D139" w14:textId="2AED0419">
            <w:r w:rsidRPr="00823A16">
              <w:t>Risker</w:t>
            </w:r>
          </w:p>
        </w:tc>
        <w:tc>
          <w:tcPr>
            <w:tcW w:w="3439" w:type="pct"/>
          </w:tcPr>
          <w:p w:rsidR="00823A16" w:rsidP="00823A16" w:rsidRDefault="00823A16" w14:paraId="7345238A" w14:textId="5F872CAC"/>
        </w:tc>
      </w:tr>
      <w:tr w:rsidR="00823A16" w:rsidTr="00823A16" w14:paraId="3EFA5843" w14:textId="77777777">
        <w:trPr>
          <w:trHeight w:val="420"/>
        </w:trPr>
        <w:tc>
          <w:tcPr>
            <w:tcW w:w="850" w:type="pct"/>
            <w:vMerge/>
          </w:tcPr>
          <w:p w:rsidR="00823A16" w:rsidP="00823A16" w:rsidRDefault="00823A16" w14:paraId="484E05C1" w14:textId="77777777"/>
        </w:tc>
        <w:tc>
          <w:tcPr>
            <w:tcW w:w="711" w:type="pct"/>
          </w:tcPr>
          <w:p w:rsidRPr="00823A16" w:rsidR="00823A16" w:rsidP="00823A16" w:rsidRDefault="00823A16" w14:paraId="743F99DF" w14:textId="2518E625">
            <w:r w:rsidRPr="00823A16">
              <w:t>Alternativ</w:t>
            </w:r>
          </w:p>
        </w:tc>
        <w:tc>
          <w:tcPr>
            <w:tcW w:w="3439" w:type="pct"/>
          </w:tcPr>
          <w:p w:rsidR="00823A16" w:rsidP="00823A16" w:rsidRDefault="00823A16" w14:paraId="46FEFB45" w14:textId="5FC9A936"/>
        </w:tc>
      </w:tr>
      <w:tr w:rsidR="00823A16" w:rsidTr="00823A16" w14:paraId="02B5708B" w14:textId="77777777">
        <w:trPr>
          <w:trHeight w:val="420"/>
        </w:trPr>
        <w:tc>
          <w:tcPr>
            <w:tcW w:w="850" w:type="pct"/>
            <w:vMerge/>
          </w:tcPr>
          <w:p w:rsidR="00823A16" w:rsidP="00823A16" w:rsidRDefault="00823A16" w14:paraId="69765625" w14:textId="77777777"/>
        </w:tc>
        <w:tc>
          <w:tcPr>
            <w:tcW w:w="711" w:type="pct"/>
          </w:tcPr>
          <w:p w:rsidRPr="00823A16" w:rsidR="00823A16" w:rsidP="00823A16" w:rsidRDefault="00823A16" w14:paraId="7BD3BD47" w14:textId="05AB423E">
            <w:r w:rsidRPr="00823A16">
              <w:t>Utfasning</w:t>
            </w:r>
          </w:p>
        </w:tc>
        <w:tc>
          <w:tcPr>
            <w:tcW w:w="3439" w:type="pct"/>
          </w:tcPr>
          <w:p w:rsidR="00823A16" w:rsidP="00823A16" w:rsidRDefault="00823A16" w14:paraId="051145F5" w14:textId="566D5794"/>
        </w:tc>
      </w:tr>
      <w:tr w:rsidR="00823A16" w:rsidTr="00823A16" w14:paraId="5315D13D" w14:textId="77777777">
        <w:trPr>
          <w:trHeight w:val="420"/>
        </w:trPr>
        <w:tc>
          <w:tcPr>
            <w:tcW w:w="850" w:type="pct"/>
            <w:vMerge w:val="restart"/>
            <w:shd w:val="clear" w:color="auto" w:fill="F2F2F2" w:themeFill="background1" w:themeFillShade="F2"/>
          </w:tcPr>
          <w:p w:rsidR="00823A16" w:rsidP="00823A16" w:rsidRDefault="00823A16" w14:paraId="571FB454" w14:textId="77777777"/>
          <w:p w:rsidR="00823A16" w:rsidP="00823A16" w:rsidRDefault="00823A16" w14:paraId="7655E9C8" w14:textId="77777777"/>
          <w:p w:rsidR="00823A16" w:rsidP="00823A16" w:rsidRDefault="00823A16" w14:paraId="58F693BE" w14:textId="77777777"/>
          <w:p w:rsidR="00823A16" w:rsidP="00823A16" w:rsidRDefault="00823A16" w14:paraId="4F92DC34" w14:textId="5C11F5BE"/>
        </w:tc>
        <w:tc>
          <w:tcPr>
            <w:tcW w:w="711" w:type="pct"/>
            <w:shd w:val="clear" w:color="auto" w:fill="F2F2F2" w:themeFill="background1" w:themeFillShade="F2"/>
          </w:tcPr>
          <w:p w:rsidRPr="00823A16" w:rsidR="00823A16" w:rsidP="00823A16" w:rsidRDefault="00823A16" w14:paraId="5016A7A8" w14:textId="2E04135F">
            <w:r w:rsidRPr="00823A16">
              <w:t>Användning</w:t>
            </w:r>
          </w:p>
        </w:tc>
        <w:tc>
          <w:tcPr>
            <w:tcW w:w="3439" w:type="pct"/>
            <w:shd w:val="clear" w:color="auto" w:fill="F2F2F2" w:themeFill="background1" w:themeFillShade="F2"/>
          </w:tcPr>
          <w:p w:rsidR="00823A16" w:rsidP="00823A16" w:rsidRDefault="00823A16" w14:paraId="102AC009" w14:textId="609DAE5D"/>
        </w:tc>
      </w:tr>
      <w:tr w:rsidR="00823A16" w:rsidTr="00823A16" w14:paraId="442DEE3E" w14:textId="77777777">
        <w:trPr>
          <w:trHeight w:val="420"/>
        </w:trPr>
        <w:tc>
          <w:tcPr>
            <w:tcW w:w="850" w:type="pct"/>
            <w:vMerge/>
            <w:shd w:val="clear" w:color="auto" w:fill="F2F2F2" w:themeFill="background1" w:themeFillShade="F2"/>
          </w:tcPr>
          <w:p w:rsidR="00823A16" w:rsidP="00823A16" w:rsidRDefault="00823A16" w14:paraId="559DD3D5" w14:textId="77777777"/>
        </w:tc>
        <w:tc>
          <w:tcPr>
            <w:tcW w:w="711" w:type="pct"/>
            <w:shd w:val="clear" w:color="auto" w:fill="F2F2F2" w:themeFill="background1" w:themeFillShade="F2"/>
          </w:tcPr>
          <w:p w:rsidRPr="00823A16" w:rsidR="00823A16" w:rsidP="00823A16" w:rsidRDefault="00823A16" w14:paraId="22D47D14" w14:textId="31199651">
            <w:r w:rsidRPr="00823A16">
              <w:t>Risker</w:t>
            </w:r>
          </w:p>
        </w:tc>
        <w:tc>
          <w:tcPr>
            <w:tcW w:w="3439" w:type="pct"/>
            <w:shd w:val="clear" w:color="auto" w:fill="F2F2F2" w:themeFill="background1" w:themeFillShade="F2"/>
          </w:tcPr>
          <w:p w:rsidR="00823A16" w:rsidP="00823A16" w:rsidRDefault="00823A16" w14:paraId="4CCF34EB" w14:textId="1C3715CE"/>
        </w:tc>
      </w:tr>
      <w:tr w:rsidR="00823A16" w:rsidTr="00823A16" w14:paraId="331FD7D5" w14:textId="77777777">
        <w:trPr>
          <w:trHeight w:val="420"/>
        </w:trPr>
        <w:tc>
          <w:tcPr>
            <w:tcW w:w="850" w:type="pct"/>
            <w:vMerge/>
            <w:shd w:val="clear" w:color="auto" w:fill="F2F2F2" w:themeFill="background1" w:themeFillShade="F2"/>
          </w:tcPr>
          <w:p w:rsidR="00823A16" w:rsidP="00823A16" w:rsidRDefault="00823A16" w14:paraId="62100C27" w14:textId="77777777"/>
        </w:tc>
        <w:tc>
          <w:tcPr>
            <w:tcW w:w="711" w:type="pct"/>
            <w:shd w:val="clear" w:color="auto" w:fill="F2F2F2" w:themeFill="background1" w:themeFillShade="F2"/>
          </w:tcPr>
          <w:p w:rsidRPr="00823A16" w:rsidR="00823A16" w:rsidP="00823A16" w:rsidRDefault="00823A16" w14:paraId="1CAF22FD" w14:textId="67A7CA69">
            <w:r w:rsidRPr="00823A16">
              <w:t>Alternativ</w:t>
            </w:r>
          </w:p>
        </w:tc>
        <w:tc>
          <w:tcPr>
            <w:tcW w:w="3439" w:type="pct"/>
            <w:shd w:val="clear" w:color="auto" w:fill="F2F2F2" w:themeFill="background1" w:themeFillShade="F2"/>
          </w:tcPr>
          <w:p w:rsidR="00823A16" w:rsidP="00823A16" w:rsidRDefault="00823A16" w14:paraId="05DE1031" w14:textId="084C4885"/>
        </w:tc>
      </w:tr>
      <w:tr w:rsidR="00823A16" w:rsidTr="00823A16" w14:paraId="4DB29037" w14:textId="77777777">
        <w:trPr>
          <w:trHeight w:val="420"/>
        </w:trPr>
        <w:tc>
          <w:tcPr>
            <w:tcW w:w="850" w:type="pct"/>
            <w:vMerge/>
            <w:shd w:val="clear" w:color="auto" w:fill="F2F2F2" w:themeFill="background1" w:themeFillShade="F2"/>
          </w:tcPr>
          <w:p w:rsidR="00823A16" w:rsidP="00823A16" w:rsidRDefault="00823A16" w14:paraId="6E419B12" w14:textId="77777777"/>
        </w:tc>
        <w:tc>
          <w:tcPr>
            <w:tcW w:w="711" w:type="pct"/>
            <w:shd w:val="clear" w:color="auto" w:fill="F2F2F2" w:themeFill="background1" w:themeFillShade="F2"/>
          </w:tcPr>
          <w:p w:rsidRPr="00823A16" w:rsidR="00823A16" w:rsidP="00823A16" w:rsidRDefault="00823A16" w14:paraId="65E700C4" w14:textId="56537575">
            <w:r w:rsidRPr="00823A16">
              <w:t>Utfasning</w:t>
            </w:r>
          </w:p>
        </w:tc>
        <w:tc>
          <w:tcPr>
            <w:tcW w:w="3439" w:type="pct"/>
            <w:shd w:val="clear" w:color="auto" w:fill="F2F2F2" w:themeFill="background1" w:themeFillShade="F2"/>
          </w:tcPr>
          <w:p w:rsidR="00823A16" w:rsidP="00823A16" w:rsidRDefault="00823A16" w14:paraId="6A154986" w14:textId="7186D122"/>
        </w:tc>
      </w:tr>
    </w:tbl>
    <w:p w:rsidRPr="005C6DE7" w:rsidR="00C172C1" w:rsidP="00C172C1" w:rsidRDefault="00C172C1" w14:paraId="6E7B0EFF" w14:textId="77777777">
      <w:pPr>
        <w:pStyle w:val="Rubrik2"/>
        <w:rPr>
          <w:lang w:val="en-GB"/>
        </w:rPr>
      </w:pPr>
      <w:proofErr w:type="spellStart"/>
      <w:r w:rsidRPr="005C6DE7">
        <w:rPr>
          <w:lang w:val="en-GB"/>
        </w:rPr>
        <w:t>Länkar</w:t>
      </w:r>
      <w:proofErr w:type="spellEnd"/>
      <w:r w:rsidRPr="005C6DE7">
        <w:rPr>
          <w:lang w:val="en-GB"/>
        </w:rPr>
        <w:t xml:space="preserve"> till chesse.org</w:t>
      </w:r>
    </w:p>
    <w:p w:rsidRPr="005C6DE7" w:rsidR="007D436A" w:rsidP="00823A16" w:rsidRDefault="005C6DE7" w14:paraId="39CEF820" w14:textId="17D4E879">
      <w:pPr>
        <w:rPr>
          <w:lang w:val="en-GB"/>
        </w:rPr>
      </w:pPr>
      <w:hyperlink w:history="1" r:id="rId12">
        <w:r w:rsidRPr="005C6DE7">
          <w:rPr>
            <w:rStyle w:val="Hyperlnk"/>
            <w:lang w:val="en-GB"/>
          </w:rPr>
          <w:t>Substitution – Chemical Safety in Science Education</w:t>
        </w:r>
      </w:hyperlink>
    </w:p>
    <w:sectPr w:rsidRPr="005C6DE7" w:rsidR="007D436A">
      <w:footerReference w:type="default" r:id="rId13"/>
      <w:pgSz w:w="11906" w:h="16838" w:orient="portrait"/>
      <w:pgMar w:top="1417" w:right="1417" w:bottom="1417" w:left="1417" w:header="708"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ABE" w:rsidRDefault="00825ABE" w14:paraId="0785E3F6" w14:textId="77777777">
      <w:pPr>
        <w:spacing w:after="0" w:line="240" w:lineRule="auto"/>
      </w:pPr>
      <w:r>
        <w:separator/>
      </w:r>
    </w:p>
  </w:endnote>
  <w:endnote w:type="continuationSeparator" w:id="0">
    <w:p w:rsidR="00825ABE" w:rsidRDefault="00825ABE" w14:paraId="738A0F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0F1267" w:rsidR="00033610" w:rsidP="7B75207A" w:rsidRDefault="7B75207A" w14:paraId="3E9AA524" w14:textId="06B43C94">
    <w:pPr>
      <w:spacing w:before="120"/>
      <w:rPr>
        <w:i/>
        <w:iCs/>
        <w:sz w:val="16"/>
        <w:szCs w:val="16"/>
      </w:rPr>
    </w:pPr>
    <w:r w:rsidRPr="7B75207A">
      <w:rPr>
        <w:i/>
        <w:iCs/>
        <w:sz w:val="16"/>
        <w:szCs w:val="16"/>
      </w:rPr>
      <w:t>Detta dokument (v 202</w:t>
    </w:r>
    <w:r w:rsidR="005C6DE7">
      <w:rPr>
        <w:i/>
        <w:iCs/>
        <w:sz w:val="16"/>
        <w:szCs w:val="16"/>
      </w:rPr>
      <w:t>6</w:t>
    </w:r>
    <w:r w:rsidRPr="7B75207A">
      <w:rPr>
        <w:i/>
        <w:iCs/>
        <w:sz w:val="16"/>
        <w:szCs w:val="16"/>
      </w:rPr>
      <w:t>-</w:t>
    </w:r>
    <w:r w:rsidR="005C6DE7">
      <w:rPr>
        <w:i/>
        <w:iCs/>
        <w:sz w:val="16"/>
        <w:szCs w:val="16"/>
      </w:rPr>
      <w:t>03</w:t>
    </w:r>
    <w:r w:rsidRPr="7B75207A">
      <w:rPr>
        <w:i/>
        <w:iCs/>
        <w:sz w:val="16"/>
        <w:szCs w:val="16"/>
      </w:rPr>
      <w:t>-</w:t>
    </w:r>
    <w:r w:rsidR="004873E6">
      <w:rPr>
        <w:i/>
        <w:iCs/>
        <w:sz w:val="16"/>
        <w:szCs w:val="16"/>
      </w:rPr>
      <w:t>1</w:t>
    </w:r>
    <w:r w:rsidR="005C6DE7">
      <w:rPr>
        <w:i/>
        <w:iCs/>
        <w:sz w:val="16"/>
        <w:szCs w:val="16"/>
      </w:rPr>
      <w:t>1</w:t>
    </w:r>
    <w:r w:rsidRPr="7B75207A">
      <w:rPr>
        <w:i/>
        <w:iCs/>
        <w:sz w:val="16"/>
        <w:szCs w:val="16"/>
      </w:rPr>
      <w:t xml:space="preserve">), och idéerna bakom, har sin grund i projektet </w:t>
    </w:r>
    <w:proofErr w:type="spellStart"/>
    <w:r w:rsidRPr="7B75207A">
      <w:rPr>
        <w:i/>
        <w:iCs/>
        <w:sz w:val="16"/>
        <w:szCs w:val="16"/>
      </w:rPr>
      <w:t>ORCheSSE</w:t>
    </w:r>
    <w:proofErr w:type="spellEnd"/>
    <w:r w:rsidRPr="7B75207A">
      <w:rPr>
        <w:i/>
        <w:iCs/>
        <w:sz w:val="16"/>
        <w:szCs w:val="16"/>
      </w:rPr>
      <w:t xml:space="preserve">, som samfinansierats av Europeiska unionens ERASMUS+ program. Den ursprungliga mallen finns på </w:t>
    </w:r>
    <w:hyperlink r:id="rId1">
      <w:r w:rsidRPr="7B75207A">
        <w:rPr>
          <w:i/>
          <w:iCs/>
          <w:color w:val="0563C1"/>
          <w:sz w:val="16"/>
          <w:szCs w:val="16"/>
          <w:u w:val="single"/>
        </w:rPr>
        <w:t>www.chesse.org</w:t>
      </w:r>
    </w:hyperlink>
    <w:r w:rsidRPr="7B75207A">
      <w:rPr>
        <w:i/>
        <w:iCs/>
        <w:sz w:val="16"/>
        <w:szCs w:val="16"/>
      </w:rPr>
      <w:t>. Varken Europeiska kommissionen eller projektet kan hållas ansvariga för användningen av materialet.</w:t>
    </w:r>
    <w:r w:rsidR="000F1267">
      <w:rPr>
        <w:noProof/>
      </w:rPr>
      <w:drawing>
        <wp:anchor distT="0" distB="0" distL="36195" distR="36195" simplePos="0" relativeHeight="251658240" behindDoc="0" locked="0" layoutInCell="1" hidden="0" allowOverlap="1" wp14:anchorId="1D0CEB89" wp14:editId="13B495E7">
          <wp:simplePos x="0" y="0"/>
          <wp:positionH relativeFrom="column">
            <wp:posOffset>5761990</wp:posOffset>
          </wp:positionH>
          <wp:positionV relativeFrom="paragraph">
            <wp:posOffset>102235</wp:posOffset>
          </wp:positionV>
          <wp:extent cx="457200" cy="341630"/>
          <wp:effectExtent l="0" t="0" r="0" b="0"/>
          <wp:wrapSquare wrapText="bothSides" distT="0" distB="0" distL="36195" distR="36195"/>
          <wp:docPr id="9" name="image1.jpg" descr="EU-flaggan"/>
          <wp:cNvGraphicFramePr/>
          <a:graphic xmlns:a="http://schemas.openxmlformats.org/drawingml/2006/main">
            <a:graphicData uri="http://schemas.openxmlformats.org/drawingml/2006/picture">
              <pic:pic xmlns:pic="http://schemas.openxmlformats.org/drawingml/2006/picture">
                <pic:nvPicPr>
                  <pic:cNvPr id="9" name="image1.jpg" descr="EU-flaggan"/>
                  <pic:cNvPicPr preferRelativeResize="0"/>
                </pic:nvPicPr>
                <pic:blipFill>
                  <a:blip r:embed="rId2"/>
                  <a:srcRect/>
                  <a:stretch>
                    <a:fillRect/>
                  </a:stretch>
                </pic:blipFill>
                <pic:spPr>
                  <a:xfrm>
                    <a:off x="0" y="0"/>
                    <a:ext cx="457200" cy="341630"/>
                  </a:xfrm>
                  <a:prstGeom prst="rect">
                    <a:avLst/>
                  </a:prstGeom>
                  <a:ln/>
                </pic:spPr>
              </pic:pic>
            </a:graphicData>
          </a:graphic>
        </wp:anchor>
      </w:drawing>
    </w:r>
    <w:r w:rsidR="000F1267">
      <w:rPr>
        <w:noProof/>
      </w:rPr>
      <w:drawing>
        <wp:anchor distT="0" distB="0" distL="36195" distR="53975" simplePos="0" relativeHeight="251658241" behindDoc="0" locked="0" layoutInCell="1" hidden="0" allowOverlap="1" wp14:anchorId="11E77C10" wp14:editId="788F2DAD">
          <wp:simplePos x="0" y="0"/>
          <wp:positionH relativeFrom="column">
            <wp:posOffset>1272</wp:posOffset>
          </wp:positionH>
          <wp:positionV relativeFrom="paragraph">
            <wp:posOffset>100330</wp:posOffset>
          </wp:positionV>
          <wp:extent cx="986400" cy="342000"/>
          <wp:effectExtent l="0" t="0" r="0" b="0"/>
          <wp:wrapSquare wrapText="bothSides" distT="0" distB="0" distL="36195" distR="53975"/>
          <wp:docPr id="10" name="image2.png" descr="Creative Commons licens: Erkännande 4.0 Internationell (CC BY 4.0)"/>
          <wp:cNvGraphicFramePr/>
          <a:graphic xmlns:a="http://schemas.openxmlformats.org/drawingml/2006/main">
            <a:graphicData uri="http://schemas.openxmlformats.org/drawingml/2006/picture">
              <pic:pic xmlns:pic="http://schemas.openxmlformats.org/drawingml/2006/picture">
                <pic:nvPicPr>
                  <pic:cNvPr id="10" name="image2.png" descr="Creative Commons licens: Erkännande 4.0 Internationell (CC BY 4.0)"/>
                  <pic:cNvPicPr preferRelativeResize="0"/>
                </pic:nvPicPr>
                <pic:blipFill>
                  <a:blip r:embed="rId3"/>
                  <a:srcRect/>
                  <a:stretch>
                    <a:fillRect/>
                  </a:stretch>
                </pic:blipFill>
                <pic:spPr>
                  <a:xfrm>
                    <a:off x="0" y="0"/>
                    <a:ext cx="986400" cy="342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ABE" w:rsidRDefault="00825ABE" w14:paraId="7DA99995" w14:textId="77777777">
      <w:pPr>
        <w:spacing w:after="0" w:line="240" w:lineRule="auto"/>
      </w:pPr>
      <w:r>
        <w:separator/>
      </w:r>
    </w:p>
  </w:footnote>
  <w:footnote w:type="continuationSeparator" w:id="0">
    <w:p w:rsidR="00825ABE" w:rsidRDefault="00825ABE" w14:paraId="3C9F126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A3F"/>
    <w:multiLevelType w:val="multilevel"/>
    <w:tmpl w:val="FF005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784087"/>
    <w:multiLevelType w:val="hybridMultilevel"/>
    <w:tmpl w:val="6A0CB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D05F6B"/>
    <w:multiLevelType w:val="hybridMultilevel"/>
    <w:tmpl w:val="8D2C31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7469ABF"/>
    <w:multiLevelType w:val="multilevel"/>
    <w:tmpl w:val="D588429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4DC54430"/>
    <w:multiLevelType w:val="hybridMultilevel"/>
    <w:tmpl w:val="BC801B68"/>
    <w:lvl w:ilvl="0" w:tplc="3856CB3C">
      <w:start w:val="1"/>
      <w:numFmt w:val="bullet"/>
      <w:lvlText w:val=""/>
      <w:lvlJc w:val="left"/>
      <w:pPr>
        <w:ind w:left="720" w:hanging="360"/>
      </w:pPr>
      <w:rPr>
        <w:rFonts w:hint="default" w:ascii="Symbol" w:hAnsi="Symbol"/>
        <w:spacing w:val="0"/>
        <w:w w:val="104"/>
        <w:sz w:val="24"/>
        <w:lang w:val="sv-SE" w:eastAsia="en-US" w:bidi="ar-S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5F645AF7"/>
    <w:multiLevelType w:val="multilevel"/>
    <w:tmpl w:val="0CB6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742D69"/>
    <w:multiLevelType w:val="multilevel"/>
    <w:tmpl w:val="842AC8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74FE7E0D"/>
    <w:multiLevelType w:val="hybridMultilevel"/>
    <w:tmpl w:val="2116B0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5A20EC6"/>
    <w:multiLevelType w:val="multilevel"/>
    <w:tmpl w:val="FE906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0512769">
    <w:abstractNumId w:val="3"/>
  </w:num>
  <w:num w:numId="2" w16cid:durableId="930165288">
    <w:abstractNumId w:val="5"/>
  </w:num>
  <w:num w:numId="3" w16cid:durableId="51009452">
    <w:abstractNumId w:val="8"/>
  </w:num>
  <w:num w:numId="4" w16cid:durableId="1554850280">
    <w:abstractNumId w:val="0"/>
  </w:num>
  <w:num w:numId="5" w16cid:durableId="1999728614">
    <w:abstractNumId w:val="2"/>
  </w:num>
  <w:num w:numId="6" w16cid:durableId="1804226618">
    <w:abstractNumId w:val="6"/>
  </w:num>
  <w:num w:numId="7" w16cid:durableId="1656378665">
    <w:abstractNumId w:val="4"/>
  </w:num>
  <w:num w:numId="8" w16cid:durableId="1379940405">
    <w:abstractNumId w:val="7"/>
  </w:num>
  <w:num w:numId="9" w16cid:durableId="19306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10"/>
    <w:rsid w:val="000051AB"/>
    <w:rsid w:val="00010ADA"/>
    <w:rsid w:val="0003134F"/>
    <w:rsid w:val="00031E5F"/>
    <w:rsid w:val="00033610"/>
    <w:rsid w:val="000662DB"/>
    <w:rsid w:val="00076AFE"/>
    <w:rsid w:val="00084489"/>
    <w:rsid w:val="000962E7"/>
    <w:rsid w:val="0009640B"/>
    <w:rsid w:val="000B67EC"/>
    <w:rsid w:val="000B7F94"/>
    <w:rsid w:val="000F1267"/>
    <w:rsid w:val="000F27C7"/>
    <w:rsid w:val="00126258"/>
    <w:rsid w:val="0013293C"/>
    <w:rsid w:val="001346E7"/>
    <w:rsid w:val="00144631"/>
    <w:rsid w:val="001754CE"/>
    <w:rsid w:val="00177F2B"/>
    <w:rsid w:val="001807F6"/>
    <w:rsid w:val="00183075"/>
    <w:rsid w:val="00183687"/>
    <w:rsid w:val="001913DE"/>
    <w:rsid w:val="001A181F"/>
    <w:rsid w:val="001A20FF"/>
    <w:rsid w:val="001B071A"/>
    <w:rsid w:val="001C2AEF"/>
    <w:rsid w:val="001D06BB"/>
    <w:rsid w:val="001D2DF1"/>
    <w:rsid w:val="001D791B"/>
    <w:rsid w:val="00203A66"/>
    <w:rsid w:val="002122A8"/>
    <w:rsid w:val="00215ECD"/>
    <w:rsid w:val="002160EE"/>
    <w:rsid w:val="002178FE"/>
    <w:rsid w:val="00232F4F"/>
    <w:rsid w:val="002409BD"/>
    <w:rsid w:val="00251A17"/>
    <w:rsid w:val="00260F92"/>
    <w:rsid w:val="002727B1"/>
    <w:rsid w:val="00281119"/>
    <w:rsid w:val="002A1734"/>
    <w:rsid w:val="002A6EE2"/>
    <w:rsid w:val="002B3F26"/>
    <w:rsid w:val="002B6BBE"/>
    <w:rsid w:val="002E038A"/>
    <w:rsid w:val="00307F21"/>
    <w:rsid w:val="00317D25"/>
    <w:rsid w:val="003274ED"/>
    <w:rsid w:val="00333866"/>
    <w:rsid w:val="00352B5B"/>
    <w:rsid w:val="00357A66"/>
    <w:rsid w:val="00360D5F"/>
    <w:rsid w:val="00361B0C"/>
    <w:rsid w:val="00383A6E"/>
    <w:rsid w:val="0038473F"/>
    <w:rsid w:val="003929B7"/>
    <w:rsid w:val="003A064F"/>
    <w:rsid w:val="003C67B3"/>
    <w:rsid w:val="003C7C3B"/>
    <w:rsid w:val="003D1727"/>
    <w:rsid w:val="003D4437"/>
    <w:rsid w:val="003E2C59"/>
    <w:rsid w:val="003E2E19"/>
    <w:rsid w:val="003F6B9C"/>
    <w:rsid w:val="003F7A47"/>
    <w:rsid w:val="00402726"/>
    <w:rsid w:val="0041114E"/>
    <w:rsid w:val="00414323"/>
    <w:rsid w:val="004442CF"/>
    <w:rsid w:val="00453123"/>
    <w:rsid w:val="0045546B"/>
    <w:rsid w:val="00455D1B"/>
    <w:rsid w:val="004567EA"/>
    <w:rsid w:val="0046462E"/>
    <w:rsid w:val="00471BB8"/>
    <w:rsid w:val="00473BA3"/>
    <w:rsid w:val="00483492"/>
    <w:rsid w:val="00483BA7"/>
    <w:rsid w:val="004873E6"/>
    <w:rsid w:val="0049576B"/>
    <w:rsid w:val="004C446B"/>
    <w:rsid w:val="004D3537"/>
    <w:rsid w:val="004E729A"/>
    <w:rsid w:val="004F2F90"/>
    <w:rsid w:val="005044F0"/>
    <w:rsid w:val="005056CA"/>
    <w:rsid w:val="0052150A"/>
    <w:rsid w:val="00533CB4"/>
    <w:rsid w:val="005346C6"/>
    <w:rsid w:val="0053551D"/>
    <w:rsid w:val="00564E1A"/>
    <w:rsid w:val="00574440"/>
    <w:rsid w:val="005907AF"/>
    <w:rsid w:val="005A54EC"/>
    <w:rsid w:val="005C6DE7"/>
    <w:rsid w:val="005D6539"/>
    <w:rsid w:val="005E06BF"/>
    <w:rsid w:val="005F04B9"/>
    <w:rsid w:val="005F31EA"/>
    <w:rsid w:val="005F41BD"/>
    <w:rsid w:val="005F4983"/>
    <w:rsid w:val="005F67FE"/>
    <w:rsid w:val="00606742"/>
    <w:rsid w:val="00607777"/>
    <w:rsid w:val="00621BFE"/>
    <w:rsid w:val="0063606D"/>
    <w:rsid w:val="006379F0"/>
    <w:rsid w:val="00644408"/>
    <w:rsid w:val="0065448C"/>
    <w:rsid w:val="0066129F"/>
    <w:rsid w:val="00675882"/>
    <w:rsid w:val="006809D1"/>
    <w:rsid w:val="006B39F7"/>
    <w:rsid w:val="006B3F24"/>
    <w:rsid w:val="006B4D59"/>
    <w:rsid w:val="006C6FDE"/>
    <w:rsid w:val="006D79F4"/>
    <w:rsid w:val="006E6264"/>
    <w:rsid w:val="006F46DC"/>
    <w:rsid w:val="006F6CD7"/>
    <w:rsid w:val="00705BC2"/>
    <w:rsid w:val="007357D0"/>
    <w:rsid w:val="00741419"/>
    <w:rsid w:val="007467F5"/>
    <w:rsid w:val="00750D61"/>
    <w:rsid w:val="007537A9"/>
    <w:rsid w:val="00762BBB"/>
    <w:rsid w:val="007760E9"/>
    <w:rsid w:val="00787FB9"/>
    <w:rsid w:val="00793D48"/>
    <w:rsid w:val="007A7ED7"/>
    <w:rsid w:val="007C110C"/>
    <w:rsid w:val="007C5083"/>
    <w:rsid w:val="007C5957"/>
    <w:rsid w:val="007C6E30"/>
    <w:rsid w:val="007D058D"/>
    <w:rsid w:val="007D436A"/>
    <w:rsid w:val="007E1F19"/>
    <w:rsid w:val="007E2DC4"/>
    <w:rsid w:val="00805269"/>
    <w:rsid w:val="008130A0"/>
    <w:rsid w:val="00821773"/>
    <w:rsid w:val="00821BFE"/>
    <w:rsid w:val="00821E39"/>
    <w:rsid w:val="00823254"/>
    <w:rsid w:val="00823A16"/>
    <w:rsid w:val="00825ABE"/>
    <w:rsid w:val="00860E2D"/>
    <w:rsid w:val="00866F8F"/>
    <w:rsid w:val="00885F76"/>
    <w:rsid w:val="00897DFE"/>
    <w:rsid w:val="008A684A"/>
    <w:rsid w:val="008B1780"/>
    <w:rsid w:val="008C3D69"/>
    <w:rsid w:val="008D2F59"/>
    <w:rsid w:val="008E50D8"/>
    <w:rsid w:val="008F313F"/>
    <w:rsid w:val="00906A10"/>
    <w:rsid w:val="009104EF"/>
    <w:rsid w:val="009147FA"/>
    <w:rsid w:val="00915466"/>
    <w:rsid w:val="00915547"/>
    <w:rsid w:val="00925EBD"/>
    <w:rsid w:val="00936476"/>
    <w:rsid w:val="00945CF2"/>
    <w:rsid w:val="009707D3"/>
    <w:rsid w:val="00985A1E"/>
    <w:rsid w:val="009A6186"/>
    <w:rsid w:val="009A7956"/>
    <w:rsid w:val="009B588A"/>
    <w:rsid w:val="009C27E5"/>
    <w:rsid w:val="009D150F"/>
    <w:rsid w:val="00A2089C"/>
    <w:rsid w:val="00A21FB6"/>
    <w:rsid w:val="00A25427"/>
    <w:rsid w:val="00A27D01"/>
    <w:rsid w:val="00A47E58"/>
    <w:rsid w:val="00A60BEC"/>
    <w:rsid w:val="00A6234B"/>
    <w:rsid w:val="00A63FD8"/>
    <w:rsid w:val="00A72EBD"/>
    <w:rsid w:val="00A7691B"/>
    <w:rsid w:val="00A8584C"/>
    <w:rsid w:val="00A962A2"/>
    <w:rsid w:val="00A96F51"/>
    <w:rsid w:val="00A97944"/>
    <w:rsid w:val="00AA375F"/>
    <w:rsid w:val="00AB047D"/>
    <w:rsid w:val="00AC4DD1"/>
    <w:rsid w:val="00AF370B"/>
    <w:rsid w:val="00AF6499"/>
    <w:rsid w:val="00B0234C"/>
    <w:rsid w:val="00B06DF7"/>
    <w:rsid w:val="00B21595"/>
    <w:rsid w:val="00B218DF"/>
    <w:rsid w:val="00B27BAC"/>
    <w:rsid w:val="00B42330"/>
    <w:rsid w:val="00B448E1"/>
    <w:rsid w:val="00B471E9"/>
    <w:rsid w:val="00B4782F"/>
    <w:rsid w:val="00B53C08"/>
    <w:rsid w:val="00B53F59"/>
    <w:rsid w:val="00B56417"/>
    <w:rsid w:val="00B6177C"/>
    <w:rsid w:val="00B74219"/>
    <w:rsid w:val="00B866EA"/>
    <w:rsid w:val="00B92DE0"/>
    <w:rsid w:val="00BA674C"/>
    <w:rsid w:val="00BB2A56"/>
    <w:rsid w:val="00BB5C09"/>
    <w:rsid w:val="00BC12C6"/>
    <w:rsid w:val="00BC217D"/>
    <w:rsid w:val="00BC4BD4"/>
    <w:rsid w:val="00BC5DFB"/>
    <w:rsid w:val="00BF21C9"/>
    <w:rsid w:val="00BF5BEC"/>
    <w:rsid w:val="00C03C20"/>
    <w:rsid w:val="00C07F1E"/>
    <w:rsid w:val="00C135E4"/>
    <w:rsid w:val="00C172C1"/>
    <w:rsid w:val="00C3651F"/>
    <w:rsid w:val="00C414DF"/>
    <w:rsid w:val="00C44E2D"/>
    <w:rsid w:val="00C455E3"/>
    <w:rsid w:val="00C52721"/>
    <w:rsid w:val="00CA027F"/>
    <w:rsid w:val="00CA0ABA"/>
    <w:rsid w:val="00CA0EFC"/>
    <w:rsid w:val="00CB2219"/>
    <w:rsid w:val="00CD2BBF"/>
    <w:rsid w:val="00CE182D"/>
    <w:rsid w:val="00CE763D"/>
    <w:rsid w:val="00D03C8F"/>
    <w:rsid w:val="00D06885"/>
    <w:rsid w:val="00D101B7"/>
    <w:rsid w:val="00D20850"/>
    <w:rsid w:val="00D45DFA"/>
    <w:rsid w:val="00D574E0"/>
    <w:rsid w:val="00D71372"/>
    <w:rsid w:val="00D74D8C"/>
    <w:rsid w:val="00D83C8F"/>
    <w:rsid w:val="00D95011"/>
    <w:rsid w:val="00DA2644"/>
    <w:rsid w:val="00DC3FDB"/>
    <w:rsid w:val="00DC5725"/>
    <w:rsid w:val="00DC5D8B"/>
    <w:rsid w:val="00DE6BB3"/>
    <w:rsid w:val="00DE713F"/>
    <w:rsid w:val="00DF436E"/>
    <w:rsid w:val="00DF73B5"/>
    <w:rsid w:val="00E0075A"/>
    <w:rsid w:val="00E029D8"/>
    <w:rsid w:val="00E24C2E"/>
    <w:rsid w:val="00E2591E"/>
    <w:rsid w:val="00E37AB5"/>
    <w:rsid w:val="00E41948"/>
    <w:rsid w:val="00E557A4"/>
    <w:rsid w:val="00E55A5B"/>
    <w:rsid w:val="00E677E7"/>
    <w:rsid w:val="00E67CB6"/>
    <w:rsid w:val="00E826A9"/>
    <w:rsid w:val="00E875DF"/>
    <w:rsid w:val="00E902AA"/>
    <w:rsid w:val="00EB078E"/>
    <w:rsid w:val="00EB4298"/>
    <w:rsid w:val="00ED34B0"/>
    <w:rsid w:val="00ED7D39"/>
    <w:rsid w:val="00F1453D"/>
    <w:rsid w:val="00F21BC9"/>
    <w:rsid w:val="00F306E3"/>
    <w:rsid w:val="00F3445B"/>
    <w:rsid w:val="00F3731C"/>
    <w:rsid w:val="00F57867"/>
    <w:rsid w:val="00F71C79"/>
    <w:rsid w:val="00F84174"/>
    <w:rsid w:val="00F93DDD"/>
    <w:rsid w:val="00F95B38"/>
    <w:rsid w:val="00F965C6"/>
    <w:rsid w:val="00FC57C4"/>
    <w:rsid w:val="00FC6D9D"/>
    <w:rsid w:val="00FD4DDF"/>
    <w:rsid w:val="00FD61C8"/>
    <w:rsid w:val="00FD6C68"/>
    <w:rsid w:val="00FE090B"/>
    <w:rsid w:val="00FF23B9"/>
    <w:rsid w:val="0442521E"/>
    <w:rsid w:val="0B5D57B8"/>
    <w:rsid w:val="1279F060"/>
    <w:rsid w:val="138EB01C"/>
    <w:rsid w:val="2DFF8AF9"/>
    <w:rsid w:val="2EFBB309"/>
    <w:rsid w:val="315BF900"/>
    <w:rsid w:val="3E3D8F22"/>
    <w:rsid w:val="43B4A04D"/>
    <w:rsid w:val="50533FAC"/>
    <w:rsid w:val="51C35D7D"/>
    <w:rsid w:val="54E951F0"/>
    <w:rsid w:val="7A909D11"/>
    <w:rsid w:val="7B75207A"/>
    <w:rsid w:val="7F2EA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3C61"/>
  <w15:docId w15:val="{89BFBA4F-4492-4B21-B315-EB2183A2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6BDB"/>
  </w:style>
  <w:style w:type="paragraph" w:styleId="Rubrik1">
    <w:name w:val="heading 1"/>
    <w:basedOn w:val="Normal"/>
    <w:next w:val="Normal"/>
    <w:link w:val="Rubrik1Char"/>
    <w:uiPriority w:val="9"/>
    <w:qFormat/>
    <w:rsid w:val="00F16BDB"/>
    <w:pPr>
      <w:keepNext/>
      <w:keepLines/>
      <w:spacing w:before="240" w:after="12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F16BDB"/>
    <w:pPr>
      <w:keepNext/>
      <w:keepLines/>
      <w:spacing w:before="360" w:after="120"/>
      <w:outlineLvl w:val="1"/>
    </w:pPr>
    <w:rPr>
      <w:rFonts w:ascii="Calibri Light" w:hAnsi="Calibri Light" w:eastAsia="Calibri Light" w:cs="Calibri Light"/>
      <w:color w:val="2F5496" w:themeColor="accent1" w:themeShade="BF"/>
      <w:sz w:val="26"/>
      <w:szCs w:val="26"/>
    </w:rPr>
  </w:style>
  <w:style w:type="paragraph" w:styleId="Rubrik3">
    <w:name w:val="heading 3"/>
    <w:basedOn w:val="Normal"/>
    <w:next w:val="Normal"/>
    <w:link w:val="Rubrik3Char"/>
    <w:uiPriority w:val="9"/>
    <w:unhideWhenUsed/>
    <w:qFormat/>
    <w:rsid w:val="00F16BDB"/>
    <w:pPr>
      <w:keepNext/>
      <w:keepLines/>
      <w:spacing w:before="240" w:after="120"/>
      <w:outlineLvl w:val="2"/>
    </w:pPr>
    <w:rPr>
      <w:rFonts w:asciiTheme="majorHAnsi" w:hAnsiTheme="majorHAnsi" w:eastAsiaTheme="majorEastAsia" w:cstheme="majorBidi"/>
      <w:color w:val="1F3763" w:themeColor="accent1" w:themeShade="7F"/>
      <w:sz w:val="24"/>
      <w:szCs w:val="24"/>
    </w:rPr>
  </w:style>
  <w:style w:type="paragraph" w:styleId="Rubrik4">
    <w:name w:val="heading 4"/>
    <w:basedOn w:val="Normal"/>
    <w:next w:val="Normal"/>
    <w:uiPriority w:val="9"/>
    <w:unhideWhenUsed/>
    <w:qFormat/>
    <w:pPr>
      <w:keepNext/>
      <w:keepLines/>
      <w:spacing w:before="240" w:after="40"/>
      <w:outlineLvl w:val="3"/>
    </w:pPr>
    <w:rPr>
      <w:b/>
      <w:sz w:val="24"/>
      <w:szCs w:val="24"/>
    </w:rPr>
  </w:style>
  <w:style w:type="paragraph" w:styleId="Rubrik5">
    <w:name w:val="heading 5"/>
    <w:basedOn w:val="Normal"/>
    <w:next w:val="Normal"/>
    <w:uiPriority w:val="9"/>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table" w:styleId="TableNormal1" w:customStyle="1">
    <w:name w:val="Table Normal1"/>
    <w:tblPr>
      <w:tblCellMar>
        <w:top w:w="0" w:type="dxa"/>
        <w:left w:w="0" w:type="dxa"/>
        <w:bottom w:w="0" w:type="dxa"/>
        <w:right w:w="0" w:type="dxa"/>
      </w:tblCellMar>
    </w:tblPr>
  </w:style>
  <w:style w:type="character" w:styleId="normaltextrun" w:customStyle="1">
    <w:name w:val="normaltextrun"/>
    <w:basedOn w:val="Standardstycketeckensnitt"/>
    <w:rsid w:val="0080769F"/>
  </w:style>
  <w:style w:type="character" w:styleId="eop" w:customStyle="1">
    <w:name w:val="eop"/>
    <w:basedOn w:val="Standardstycketeckensnitt"/>
    <w:rsid w:val="0080769F"/>
  </w:style>
  <w:style w:type="character" w:styleId="Rubrik1Char" w:customStyle="1">
    <w:name w:val="Rubrik 1 Char"/>
    <w:basedOn w:val="Standardstycketeckensnitt"/>
    <w:link w:val="Rubrik1"/>
    <w:uiPriority w:val="9"/>
    <w:rsid w:val="00F16BDB"/>
    <w:rPr>
      <w:rFonts w:asciiTheme="majorHAnsi" w:hAnsiTheme="majorHAnsi" w:eastAsiaTheme="majorEastAsia" w:cstheme="majorBidi"/>
      <w:color w:val="2F5496" w:themeColor="accent1" w:themeShade="BF"/>
      <w:sz w:val="32"/>
      <w:szCs w:val="32"/>
      <w:lang w:val="en-GB"/>
    </w:rPr>
  </w:style>
  <w:style w:type="character" w:styleId="Rubrik2Char" w:customStyle="1">
    <w:name w:val="Rubrik 2 Char"/>
    <w:basedOn w:val="Standardstycketeckensnitt"/>
    <w:link w:val="Rubrik2"/>
    <w:uiPriority w:val="9"/>
    <w:rsid w:val="00F16BDB"/>
    <w:rPr>
      <w:rFonts w:ascii="Calibri Light" w:hAnsi="Calibri Light" w:eastAsia="Calibri Light" w:cs="Calibri Light"/>
      <w:color w:val="2F5496" w:themeColor="accent1" w:themeShade="BF"/>
      <w:sz w:val="26"/>
      <w:szCs w:val="26"/>
      <w:lang w:val="en-GB"/>
    </w:rPr>
  </w:style>
  <w:style w:type="paragraph" w:styleId="Liststycke">
    <w:name w:val="List Paragraph"/>
    <w:basedOn w:val="Normal"/>
    <w:uiPriority w:val="34"/>
    <w:qFormat/>
    <w:rsid w:val="007E4858"/>
    <w:pPr>
      <w:ind w:left="720"/>
      <w:contextualSpacing/>
    </w:pPr>
  </w:style>
  <w:style w:type="character" w:styleId="Kommentarsreferens">
    <w:name w:val="annotation reference"/>
    <w:basedOn w:val="Standardstycketeckensnitt"/>
    <w:uiPriority w:val="99"/>
    <w:semiHidden/>
    <w:unhideWhenUsed/>
    <w:rsid w:val="00C871B7"/>
    <w:rPr>
      <w:sz w:val="16"/>
      <w:szCs w:val="16"/>
    </w:rPr>
  </w:style>
  <w:style w:type="paragraph" w:styleId="Kommentarer">
    <w:name w:val="annotation text"/>
    <w:basedOn w:val="Normal"/>
    <w:link w:val="KommentarerChar"/>
    <w:uiPriority w:val="99"/>
    <w:semiHidden/>
    <w:unhideWhenUsed/>
    <w:rsid w:val="00C871B7"/>
    <w:pPr>
      <w:spacing w:line="240" w:lineRule="auto"/>
    </w:pPr>
    <w:rPr>
      <w:sz w:val="20"/>
      <w:szCs w:val="20"/>
    </w:rPr>
  </w:style>
  <w:style w:type="character" w:styleId="KommentarerChar" w:customStyle="1">
    <w:name w:val="Kommentarer Char"/>
    <w:basedOn w:val="Standardstycketeckensnitt"/>
    <w:link w:val="Kommentarer"/>
    <w:uiPriority w:val="99"/>
    <w:semiHidden/>
    <w:rsid w:val="00C871B7"/>
    <w:rPr>
      <w:sz w:val="20"/>
      <w:szCs w:val="20"/>
    </w:rPr>
  </w:style>
  <w:style w:type="paragraph" w:styleId="Kommentarsmne">
    <w:name w:val="annotation subject"/>
    <w:basedOn w:val="Kommentarer"/>
    <w:next w:val="Kommentarer"/>
    <w:link w:val="KommentarsmneChar"/>
    <w:uiPriority w:val="99"/>
    <w:semiHidden/>
    <w:unhideWhenUsed/>
    <w:rsid w:val="00C871B7"/>
    <w:rPr>
      <w:b/>
      <w:bCs/>
    </w:rPr>
  </w:style>
  <w:style w:type="character" w:styleId="KommentarsmneChar" w:customStyle="1">
    <w:name w:val="Kommentarsämne Char"/>
    <w:basedOn w:val="KommentarerChar"/>
    <w:link w:val="Kommentarsmne"/>
    <w:uiPriority w:val="99"/>
    <w:semiHidden/>
    <w:rsid w:val="00C871B7"/>
    <w:rPr>
      <w:b/>
      <w:bCs/>
      <w:sz w:val="20"/>
      <w:szCs w:val="20"/>
    </w:rPr>
  </w:style>
  <w:style w:type="character" w:styleId="Hyperlnk">
    <w:name w:val="Hyperlink"/>
    <w:basedOn w:val="Standardstycketeckensnitt"/>
    <w:uiPriority w:val="99"/>
    <w:unhideWhenUsed/>
    <w:rPr>
      <w:color w:val="0563C1" w:themeColor="hyperlink"/>
      <w:u w:val="single"/>
    </w:rPr>
  </w:style>
  <w:style w:type="paragraph" w:styleId="paragraph" w:customStyle="1">
    <w:name w:val="paragraph"/>
    <w:basedOn w:val="Normal"/>
    <w:uiPriority w:val="1"/>
    <w:rsid w:val="5D748867"/>
    <w:pPr>
      <w:spacing w:beforeAutospacing="1" w:afterAutospacing="1"/>
    </w:pPr>
    <w:rPr>
      <w:rFonts w:ascii="Times New Roman" w:hAnsi="Times New Roman" w:eastAsia="Times New Roman" w:cs="Times New Roman"/>
      <w:sz w:val="24"/>
      <w:szCs w:val="24"/>
      <w:lang w:eastAsia="nb-NO"/>
    </w:rPr>
  </w:style>
  <w:style w:type="paragraph" w:styleId="Ingetavstnd">
    <w:name w:val="No Spacing"/>
    <w:uiPriority w:val="1"/>
    <w:qFormat/>
    <w:rsid w:val="00F16BDB"/>
    <w:pPr>
      <w:spacing w:after="0" w:line="240" w:lineRule="auto"/>
    </w:pPr>
  </w:style>
  <w:style w:type="table" w:styleId="Tabellrutnt">
    <w:name w:val="Table Grid"/>
    <w:basedOn w:val="Normaltabel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idhuvudChar" w:customStyle="1">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styleId="SidfotChar" w:customStyle="1">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character" w:styleId="Rubrik3Char" w:customStyle="1">
    <w:name w:val="Rubrik 3 Char"/>
    <w:basedOn w:val="Standardstycketeckensnitt"/>
    <w:link w:val="Rubrik3"/>
    <w:uiPriority w:val="9"/>
    <w:rsid w:val="00F16BDB"/>
    <w:rPr>
      <w:rFonts w:asciiTheme="majorHAnsi" w:hAnsiTheme="majorHAnsi" w:eastAsiaTheme="majorEastAsia" w:cstheme="majorBidi"/>
      <w:color w:val="1F3763" w:themeColor="accent1" w:themeShade="7F"/>
      <w:sz w:val="24"/>
      <w:szCs w:val="24"/>
      <w:lang w:val="en-GB"/>
    </w:rPr>
  </w:style>
  <w:style w:type="paragraph" w:styleId="Underrubrik">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1"/>
    <w:tblPr>
      <w:tblStyleRowBandSize w:val="1"/>
      <w:tblStyleColBandSize w:val="1"/>
      <w:tblCellMar>
        <w:left w:w="115" w:type="dxa"/>
        <w:right w:w="115" w:type="dxa"/>
      </w:tblCellMar>
    </w:tblPr>
  </w:style>
  <w:style w:type="table" w:styleId="a0" w:customStyle="1">
    <w:basedOn w:val="TableNormal1"/>
    <w:tblPr>
      <w:tblStyleRowBandSize w:val="1"/>
      <w:tblStyleColBandSize w:val="1"/>
      <w:tblCellMar>
        <w:left w:w="115" w:type="dxa"/>
        <w:right w:w="115" w:type="dxa"/>
      </w:tblCellMar>
    </w:tblPr>
  </w:style>
  <w:style w:type="character" w:styleId="Olstomnmnande">
    <w:name w:val="Unresolved Mention"/>
    <w:basedOn w:val="Standardstycketeckensnitt"/>
    <w:uiPriority w:val="99"/>
    <w:semiHidden/>
    <w:unhideWhenUsed/>
    <w:rsid w:val="00E902AA"/>
    <w:rPr>
      <w:color w:val="605E5C"/>
      <w:shd w:val="clear" w:color="auto" w:fill="E1DFDD"/>
    </w:rPr>
  </w:style>
  <w:style w:type="paragraph" w:styleId="Fotnotstext">
    <w:name w:val="footnote text"/>
    <w:basedOn w:val="Normal"/>
    <w:link w:val="FotnotstextChar"/>
    <w:uiPriority w:val="99"/>
    <w:semiHidden/>
    <w:unhideWhenUsed/>
    <w:rsid w:val="00750D61"/>
    <w:pPr>
      <w:spacing w:after="0" w:line="240" w:lineRule="auto"/>
    </w:pPr>
    <w:rPr>
      <w:sz w:val="20"/>
      <w:szCs w:val="20"/>
    </w:rPr>
  </w:style>
  <w:style w:type="character" w:styleId="FotnotstextChar" w:customStyle="1">
    <w:name w:val="Fotnotstext Char"/>
    <w:basedOn w:val="Standardstycketeckensnitt"/>
    <w:link w:val="Fotnotstext"/>
    <w:uiPriority w:val="99"/>
    <w:semiHidden/>
    <w:rsid w:val="00750D61"/>
    <w:rPr>
      <w:sz w:val="20"/>
      <w:szCs w:val="20"/>
    </w:rPr>
  </w:style>
  <w:style w:type="character" w:styleId="Fotnotsreferens">
    <w:name w:val="footnote reference"/>
    <w:basedOn w:val="Standardstycketeckensnitt"/>
    <w:uiPriority w:val="99"/>
    <w:semiHidden/>
    <w:unhideWhenUsed/>
    <w:rsid w:val="00750D61"/>
    <w:rPr>
      <w:vertAlign w:val="superscript"/>
    </w:rPr>
  </w:style>
  <w:style w:type="paragraph" w:styleId="Revision">
    <w:name w:val="Revision"/>
    <w:hidden/>
    <w:uiPriority w:val="99"/>
    <w:semiHidden/>
    <w:rsid w:val="00A72EBD"/>
    <w:pPr>
      <w:spacing w:after="0" w:line="240" w:lineRule="auto"/>
    </w:pPr>
  </w:style>
  <w:style w:type="paragraph" w:styleId="Innehll1">
    <w:name w:val="toc 1"/>
    <w:basedOn w:val="Normal"/>
    <w:next w:val="Normal"/>
    <w:uiPriority w:val="39"/>
    <w:rsid w:val="009707D3"/>
    <w:pPr>
      <w:tabs>
        <w:tab w:val="right" w:leader="dot" w:pos="9062"/>
      </w:tabs>
      <w:spacing w:after="100" w:line="288" w:lineRule="auto"/>
      <w:ind w:left="425" w:hanging="425"/>
    </w:pPr>
    <w:rPr>
      <w:rFonts w:asciiTheme="minorHAnsi" w:hAnsiTheme="minorHAnsi" w:eastAsiaTheme="minorEastAsia" w:cstheme="minorBidi"/>
      <w:noProof/>
      <w:sz w:val="19"/>
      <w:szCs w:val="19"/>
    </w:rPr>
  </w:style>
  <w:style w:type="paragraph" w:styleId="Innehll2">
    <w:name w:val="toc 2"/>
    <w:basedOn w:val="Normal"/>
    <w:next w:val="Normal"/>
    <w:uiPriority w:val="39"/>
    <w:rsid w:val="009707D3"/>
    <w:pPr>
      <w:tabs>
        <w:tab w:val="right" w:leader="dot" w:pos="9062"/>
      </w:tabs>
      <w:spacing w:after="100" w:line="288" w:lineRule="auto"/>
      <w:ind w:left="850" w:hanging="425"/>
    </w:pPr>
    <w:rPr>
      <w:rFonts w:asciiTheme="minorHAnsi" w:hAnsiTheme="minorHAnsi" w:eastAsiaTheme="minorEastAsia" w:cstheme="minorBidi"/>
      <w:noProof/>
      <w:sz w:val="19"/>
      <w:szCs w:val="19"/>
      <w:lang w:eastAsia="en-US"/>
    </w:rPr>
  </w:style>
  <w:style w:type="paragraph" w:styleId="Innehll3">
    <w:name w:val="toc 3"/>
    <w:basedOn w:val="Normal"/>
    <w:next w:val="Normal"/>
    <w:uiPriority w:val="39"/>
    <w:rsid w:val="009707D3"/>
    <w:pPr>
      <w:tabs>
        <w:tab w:val="right" w:leader="dot" w:pos="9062"/>
      </w:tabs>
      <w:spacing w:after="100" w:line="288" w:lineRule="auto"/>
      <w:ind w:left="1276" w:hanging="425"/>
    </w:pPr>
    <w:rPr>
      <w:rFonts w:asciiTheme="minorHAnsi" w:hAnsiTheme="minorHAnsi" w:eastAsiaTheme="minorEastAsia" w:cstheme="minorBidi"/>
      <w:noProof/>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chesse.org/sv/riskbedomning-och-substitution/substitution/"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www.chesse.org"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0249CDA8E27964FA2FBA3A9FE9AC606" ma:contentTypeVersion="8" ma:contentTypeDescription="Opprett et nytt dokument." ma:contentTypeScope="" ma:versionID="d5dcadd48904e11871611e970d1eafff">
  <xsd:schema xmlns:xsd="http://www.w3.org/2001/XMLSchema" xmlns:xs="http://www.w3.org/2001/XMLSchema" xmlns:p="http://schemas.microsoft.com/office/2006/metadata/properties" xmlns:ns2="1734e248-1310-42b8-a54e-464745aaf567" targetNamespace="http://schemas.microsoft.com/office/2006/metadata/properties" ma:root="true" ma:fieldsID="d9a96604be01532ca76a682e5bd9cffd" ns2:_="">
    <xsd:import namespace="1734e248-1310-42b8-a54e-464745aaf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e248-1310-42b8-a54e-464745aaf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4l7qWuYHrGu2fTogNVdByIhkLLQ==">AMUW2mVLp3SVmsL8fz1Cjwap3q57bma4vurvx7omCTJAUN1oT4q9Z22XjPO+kVC7VtQ7u3oTifm1lKvv6Tc0FwdfViNK+Dp95W/YlVHDX7C9f5V90ILUDgZnTeJ9HM43vak14KJftpk3yJX6PEdNOLK7K/0cqeLHizCGFAX1RgvmgZqei2M8idjUdnM4BDhWctKGuu6YCzgJ92Hp8dwNIQcN3NcmV99dBLKNemDxDtPctmV1rul6Orc=</go:docsCustomData>
</go:gDocsCustomXmlDataStorage>
</file>

<file path=customXml/itemProps1.xml><?xml version="1.0" encoding="utf-8"?>
<ds:datastoreItem xmlns:ds="http://schemas.openxmlformats.org/officeDocument/2006/customXml" ds:itemID="{F39E3E2B-8348-4A90-BF38-7D1BF3B0F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69B7B-634D-4045-95FC-5084E24B51C4}"/>
</file>

<file path=customXml/itemProps3.xml><?xml version="1.0" encoding="utf-8"?>
<ds:datastoreItem xmlns:ds="http://schemas.openxmlformats.org/officeDocument/2006/customXml" ds:itemID="{438134FD-54F9-4CC0-893C-50C5384718A5}">
  <ds:schemaRefs>
    <ds:schemaRef ds:uri="http://schemas.microsoft.com/sharepoint/v3/contenttype/forms"/>
  </ds:schemaRefs>
</ds:datastoreItem>
</file>

<file path=customXml/itemProps4.xml><?xml version="1.0" encoding="utf-8"?>
<ds:datastoreItem xmlns:ds="http://schemas.openxmlformats.org/officeDocument/2006/customXml" ds:itemID="{A21B9668-3D68-468F-9B8F-E9DA9CDC2AE0}">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5b66c34-d3f7-4b74-a2f5-5e46d77d2b05}" enabled="1" method="Privileged" siteId="{1e586649-7317-42fb-8949-66923d34ba7e}"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Olander</dc:creator>
  <cp:lastModifiedBy>Jenny.olander</cp:lastModifiedBy>
  <cp:revision>4</cp:revision>
  <dcterms:created xsi:type="dcterms:W3CDTF">2026-03-11T16:58:00Z</dcterms:created>
  <dcterms:modified xsi:type="dcterms:W3CDTF">2026-03-12T15:03:04Z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0x01010070249CDA8E27964FA2FBA3A9FE9AC606</vt:lpwstr>
  </property>
  <property fmtid="{D5CDD505-2E9C-101B-9397-08002B2CF9AE}" pid="3" name="MediaServiceImageTags">
    <vt:lpwstr/>
  </property>
</Properties>
</file>